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27816" w14:textId="77777777" w:rsidR="00202B38" w:rsidRPr="00202B38" w:rsidRDefault="00202B38" w:rsidP="00202B38">
      <w:pPr>
        <w:pStyle w:val="Corpsdetexte"/>
        <w:rPr>
          <w:rFonts w:asciiTheme="minorHAnsi" w:hAnsiTheme="minorHAnsi" w:cstheme="minorHAnsi"/>
          <w:b/>
          <w:sz w:val="24"/>
        </w:rPr>
      </w:pPr>
      <w:r w:rsidRPr="00202B38">
        <w:rPr>
          <w:rFonts w:asciiTheme="minorHAnsi" w:hAnsiTheme="minorHAnsi" w:cstheme="minorHAnsi"/>
          <w:b/>
          <w:sz w:val="24"/>
        </w:rPr>
        <w:t>Willy BORSUS</w:t>
      </w:r>
    </w:p>
    <w:p w14:paraId="3F45A8B4" w14:textId="77777777" w:rsidR="00202B38" w:rsidRPr="00202B38" w:rsidRDefault="00202B38" w:rsidP="00202B38">
      <w:pPr>
        <w:rPr>
          <w:rFonts w:cstheme="minorHAnsi"/>
          <w:sz w:val="24"/>
          <w:szCs w:val="24"/>
        </w:rPr>
      </w:pPr>
      <w:r w:rsidRPr="00202B38">
        <w:rPr>
          <w:rFonts w:cstheme="minorHAnsi"/>
          <w:sz w:val="24"/>
          <w:szCs w:val="24"/>
        </w:rPr>
        <w:t>Vice-Président du Gouvernement de Wallonie</w:t>
      </w:r>
    </w:p>
    <w:p w14:paraId="6E65CA85" w14:textId="77777777" w:rsidR="00202B38" w:rsidRPr="00202B38" w:rsidRDefault="00202B38" w:rsidP="00202B38">
      <w:pPr>
        <w:rPr>
          <w:rFonts w:cstheme="minorHAnsi"/>
          <w:sz w:val="24"/>
          <w:szCs w:val="24"/>
        </w:rPr>
      </w:pPr>
      <w:r w:rsidRPr="00202B38">
        <w:rPr>
          <w:rFonts w:cstheme="minorHAnsi"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 wp14:anchorId="6BBEFFEA" wp14:editId="196CB723">
            <wp:simplePos x="0" y="0"/>
            <wp:positionH relativeFrom="margin">
              <wp:posOffset>5113020</wp:posOffset>
            </wp:positionH>
            <wp:positionV relativeFrom="margin">
              <wp:posOffset>750570</wp:posOffset>
            </wp:positionV>
            <wp:extent cx="1122045" cy="1271905"/>
            <wp:effectExtent l="0" t="0" r="1905" b="4445"/>
            <wp:wrapSquare wrapText="bothSides"/>
            <wp:docPr id="1" name="Image 1" descr="C:\Users\PAULIN~1.BIE\AppData\Local\Temp\$$_26F2\wallonie\wallonie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~1.BIE\AppData\Local\Temp\$$_26F2\wallonie\wallonie_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2B38">
        <w:rPr>
          <w:rStyle w:val="lt-line-clampline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Ministre de l'Économie, de la Recherche et de</w:t>
      </w:r>
      <w:r w:rsidRPr="00202B38">
        <w:rPr>
          <w:rFonts w:cstheme="minorHAnsi"/>
          <w:sz w:val="24"/>
          <w:szCs w:val="24"/>
          <w:shd w:val="clear" w:color="auto" w:fill="FFFFFF"/>
        </w:rPr>
        <w:t> </w:t>
      </w:r>
      <w:r w:rsidRPr="00202B38">
        <w:rPr>
          <w:rStyle w:val="lt-line-clampline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l'Innovation, du Numérique, de l'Agriculture, de l'Aménagement du territoire, de l’IFAPME et des Centres de compétences</w:t>
      </w:r>
    </w:p>
    <w:p w14:paraId="521734F2" w14:textId="77777777" w:rsidR="00202B38" w:rsidRPr="00202B38" w:rsidRDefault="00202B38" w:rsidP="00202B38">
      <w:pPr>
        <w:rPr>
          <w:rFonts w:cstheme="minorHAnsi"/>
          <w:sz w:val="24"/>
          <w:szCs w:val="24"/>
        </w:rPr>
      </w:pPr>
      <w:r w:rsidRPr="00202B38">
        <w:rPr>
          <w:rFonts w:cstheme="minorHAnsi"/>
          <w:b/>
          <w:sz w:val="24"/>
          <w:szCs w:val="24"/>
        </w:rPr>
        <w:t>Contact :</w:t>
      </w:r>
      <w:r w:rsidRPr="00202B38">
        <w:rPr>
          <w:rFonts w:cstheme="minorHAnsi"/>
          <w:noProof/>
          <w:sz w:val="24"/>
          <w:szCs w:val="24"/>
          <w:lang w:val="fr-FR" w:eastAsia="fr-FR"/>
        </w:rPr>
        <w:t xml:space="preserve"> </w:t>
      </w:r>
    </w:p>
    <w:p w14:paraId="5F56FFA7" w14:textId="77777777" w:rsidR="00202B38" w:rsidRPr="00202B38" w:rsidRDefault="00202B38" w:rsidP="00202B38">
      <w:pPr>
        <w:rPr>
          <w:rFonts w:cstheme="minorHAnsi"/>
          <w:sz w:val="24"/>
          <w:szCs w:val="24"/>
        </w:rPr>
      </w:pPr>
      <w:r w:rsidRPr="00202B38">
        <w:rPr>
          <w:rFonts w:cstheme="minorHAnsi"/>
          <w:sz w:val="24"/>
          <w:szCs w:val="24"/>
        </w:rPr>
        <w:t>Pauline Bievez</w:t>
      </w:r>
      <w:r w:rsidRPr="00202B38">
        <w:rPr>
          <w:rFonts w:cstheme="minorHAnsi"/>
          <w:sz w:val="24"/>
          <w:szCs w:val="24"/>
        </w:rPr>
        <w:br/>
        <w:t>0477 38 45 01</w:t>
      </w:r>
    </w:p>
    <w:p w14:paraId="279A9E68" w14:textId="77777777" w:rsidR="00202B38" w:rsidRPr="00202B38" w:rsidRDefault="00495DB5" w:rsidP="00202B38">
      <w:pPr>
        <w:rPr>
          <w:rFonts w:cstheme="minorHAnsi"/>
          <w:color w:val="0563C1" w:themeColor="hyperlink"/>
          <w:sz w:val="24"/>
          <w:szCs w:val="24"/>
          <w:u w:val="single"/>
        </w:rPr>
      </w:pPr>
      <w:hyperlink r:id="rId8" w:history="1">
        <w:r w:rsidR="00202B38" w:rsidRPr="00202B38">
          <w:rPr>
            <w:rStyle w:val="Lienhypertexte"/>
            <w:rFonts w:cstheme="minorHAnsi"/>
            <w:sz w:val="24"/>
            <w:szCs w:val="24"/>
          </w:rPr>
          <w:t>pauline.bievez@gov.wallonie.be</w:t>
        </w:r>
      </w:hyperlink>
    </w:p>
    <w:p w14:paraId="71BBD578" w14:textId="77777777" w:rsidR="00202B38" w:rsidRPr="00202B38" w:rsidRDefault="00202B38" w:rsidP="0020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cstheme="minorHAnsi"/>
          <w:kern w:val="36"/>
          <w:sz w:val="24"/>
          <w:szCs w:val="24"/>
        </w:rPr>
      </w:pPr>
      <w:r w:rsidRPr="00202B38">
        <w:rPr>
          <w:rFonts w:cstheme="minorHAnsi"/>
          <w:kern w:val="36"/>
          <w:sz w:val="24"/>
          <w:szCs w:val="24"/>
        </w:rPr>
        <w:t>Communiqué de presse</w:t>
      </w:r>
    </w:p>
    <w:p w14:paraId="4DF946B1" w14:textId="3FCC8D89" w:rsidR="00202B38" w:rsidRPr="00202B38" w:rsidRDefault="00202B38" w:rsidP="0020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cstheme="minorHAnsi"/>
          <w:b/>
          <w:kern w:val="36"/>
          <w:sz w:val="36"/>
          <w:szCs w:val="36"/>
        </w:rPr>
      </w:pPr>
      <w:r w:rsidRPr="00202B38">
        <w:rPr>
          <w:rFonts w:cstheme="minorHAnsi"/>
          <w:b/>
          <w:kern w:val="36"/>
          <w:sz w:val="36"/>
          <w:szCs w:val="36"/>
        </w:rPr>
        <w:t>Covid-19 : indemnité</w:t>
      </w:r>
      <w:r w:rsidR="005F1E19">
        <w:rPr>
          <w:rFonts w:cstheme="minorHAnsi"/>
          <w:b/>
          <w:kern w:val="36"/>
          <w:sz w:val="36"/>
          <w:szCs w:val="36"/>
        </w:rPr>
        <w:t>s</w:t>
      </w:r>
      <w:r w:rsidRPr="00202B38">
        <w:rPr>
          <w:rFonts w:cstheme="minorHAnsi"/>
          <w:b/>
          <w:kern w:val="36"/>
          <w:sz w:val="36"/>
          <w:szCs w:val="36"/>
        </w:rPr>
        <w:t xml:space="preserve"> pour les secteurs toujours fermés, </w:t>
      </w:r>
      <w:r w:rsidR="005F1E19" w:rsidRPr="00202B38">
        <w:rPr>
          <w:rFonts w:cstheme="minorHAnsi"/>
          <w:b/>
          <w:kern w:val="36"/>
          <w:sz w:val="36"/>
          <w:szCs w:val="36"/>
        </w:rPr>
        <w:t xml:space="preserve">pour le secteur </w:t>
      </w:r>
      <w:r w:rsidR="005F1E19">
        <w:rPr>
          <w:rFonts w:cstheme="minorHAnsi"/>
          <w:b/>
          <w:kern w:val="36"/>
          <w:sz w:val="36"/>
          <w:szCs w:val="36"/>
        </w:rPr>
        <w:t xml:space="preserve">hôtelier, </w:t>
      </w:r>
      <w:r w:rsidRPr="00202B38">
        <w:rPr>
          <w:rFonts w:cstheme="minorHAnsi"/>
          <w:b/>
          <w:kern w:val="36"/>
          <w:sz w:val="36"/>
          <w:szCs w:val="36"/>
        </w:rPr>
        <w:t>pour le B</w:t>
      </w:r>
      <w:r w:rsidR="0095211C">
        <w:rPr>
          <w:rFonts w:cstheme="minorHAnsi"/>
          <w:b/>
          <w:kern w:val="36"/>
          <w:sz w:val="36"/>
          <w:szCs w:val="36"/>
        </w:rPr>
        <w:t xml:space="preserve"> </w:t>
      </w:r>
      <w:r w:rsidRPr="00202B38">
        <w:rPr>
          <w:rFonts w:cstheme="minorHAnsi"/>
          <w:b/>
          <w:kern w:val="36"/>
          <w:sz w:val="36"/>
          <w:szCs w:val="36"/>
        </w:rPr>
        <w:t>to</w:t>
      </w:r>
      <w:r w:rsidR="0095211C">
        <w:rPr>
          <w:rFonts w:cstheme="minorHAnsi"/>
          <w:b/>
          <w:kern w:val="36"/>
          <w:sz w:val="36"/>
          <w:szCs w:val="36"/>
        </w:rPr>
        <w:t xml:space="preserve"> </w:t>
      </w:r>
      <w:r w:rsidRPr="00202B38">
        <w:rPr>
          <w:rFonts w:cstheme="minorHAnsi"/>
          <w:b/>
          <w:kern w:val="36"/>
          <w:sz w:val="36"/>
          <w:szCs w:val="36"/>
        </w:rPr>
        <w:t xml:space="preserve">B et </w:t>
      </w:r>
      <w:r w:rsidR="005F1E19">
        <w:rPr>
          <w:rFonts w:cstheme="minorHAnsi"/>
          <w:b/>
          <w:kern w:val="36"/>
          <w:sz w:val="36"/>
          <w:szCs w:val="36"/>
        </w:rPr>
        <w:t>pour certains secteurs spécifiques</w:t>
      </w:r>
    </w:p>
    <w:p w14:paraId="6F19D5EE" w14:textId="7EBCB57A" w:rsidR="00202B38" w:rsidRPr="00202B38" w:rsidRDefault="00202B38" w:rsidP="0020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cstheme="minorHAnsi"/>
          <w:kern w:val="36"/>
          <w:sz w:val="24"/>
          <w:szCs w:val="24"/>
        </w:rPr>
      </w:pPr>
      <w:r w:rsidRPr="00202B38">
        <w:rPr>
          <w:rFonts w:cstheme="minorHAnsi"/>
          <w:kern w:val="36"/>
          <w:sz w:val="24"/>
          <w:szCs w:val="24"/>
        </w:rPr>
        <w:t>04 février 2021</w:t>
      </w:r>
    </w:p>
    <w:p w14:paraId="4D30FF4D" w14:textId="6E6E6D79" w:rsidR="00202B38" w:rsidRPr="00202B38" w:rsidRDefault="00202B38" w:rsidP="00202B38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202B38">
        <w:rPr>
          <w:rFonts w:cstheme="minorHAnsi"/>
          <w:sz w:val="24"/>
          <w:szCs w:val="24"/>
        </w:rPr>
        <w:t xml:space="preserve">Sur proposition du Ministre de l’Economie Willy Borsus, le Gouvernement de Wallonie a pris ce jeudi </w:t>
      </w:r>
      <w:r w:rsidR="005F1E19">
        <w:rPr>
          <w:rFonts w:cstheme="minorHAnsi"/>
          <w:sz w:val="24"/>
          <w:szCs w:val="24"/>
        </w:rPr>
        <w:t>quatre décisions</w:t>
      </w:r>
      <w:r w:rsidRPr="00202B38">
        <w:rPr>
          <w:rFonts w:cstheme="minorHAnsi"/>
          <w:sz w:val="24"/>
          <w:szCs w:val="24"/>
        </w:rPr>
        <w:t xml:space="preserve"> complémentaires de soutien suite à la crise que nous traversons : </w:t>
      </w:r>
    </w:p>
    <w:p w14:paraId="15E8C6FD" w14:textId="5B70B4D9" w:rsidR="00202B38" w:rsidRPr="00202B38" w:rsidRDefault="00202B38" w:rsidP="00202B38">
      <w:pPr>
        <w:pStyle w:val="Paragraphedeliste"/>
        <w:numPr>
          <w:ilvl w:val="0"/>
          <w:numId w:val="2"/>
        </w:num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202B38">
        <w:rPr>
          <w:rFonts w:cstheme="minorHAnsi"/>
          <w:sz w:val="24"/>
          <w:szCs w:val="24"/>
        </w:rPr>
        <w:t xml:space="preserve">Une intervention complémentaire en faveur des </w:t>
      </w:r>
      <w:r w:rsidR="005F1E19">
        <w:rPr>
          <w:rFonts w:cstheme="minorHAnsi"/>
          <w:sz w:val="24"/>
          <w:szCs w:val="24"/>
        </w:rPr>
        <w:t>indépendants et entreprises</w:t>
      </w:r>
      <w:r w:rsidRPr="00202B38">
        <w:rPr>
          <w:rFonts w:cstheme="minorHAnsi"/>
          <w:sz w:val="24"/>
          <w:szCs w:val="24"/>
        </w:rPr>
        <w:t xml:space="preserve"> toujours </w:t>
      </w:r>
      <w:r w:rsidR="005F1E19">
        <w:rPr>
          <w:rFonts w:cstheme="minorHAnsi"/>
          <w:sz w:val="24"/>
          <w:szCs w:val="24"/>
        </w:rPr>
        <w:t>à l’arrêt</w:t>
      </w:r>
      <w:r w:rsidR="004761D4">
        <w:rPr>
          <w:rFonts w:cstheme="minorHAnsi"/>
          <w:sz w:val="24"/>
          <w:szCs w:val="24"/>
        </w:rPr>
        <w:t xml:space="preserve"> (horeca, métiers de contacts, centres de loisirs…)</w:t>
      </w:r>
    </w:p>
    <w:p w14:paraId="2BD3F2E0" w14:textId="7A4BFA43" w:rsidR="00202B38" w:rsidRPr="00202B38" w:rsidRDefault="00202B38" w:rsidP="00202B38">
      <w:pPr>
        <w:pStyle w:val="Paragraphedeliste"/>
        <w:numPr>
          <w:ilvl w:val="0"/>
          <w:numId w:val="2"/>
        </w:num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202B38">
        <w:rPr>
          <w:rFonts w:cstheme="minorHAnsi"/>
          <w:sz w:val="24"/>
          <w:szCs w:val="24"/>
        </w:rPr>
        <w:t xml:space="preserve">Une indemnité à destination du secteur </w:t>
      </w:r>
      <w:r w:rsidR="00F31598">
        <w:rPr>
          <w:rFonts w:cstheme="minorHAnsi"/>
          <w:sz w:val="24"/>
          <w:szCs w:val="24"/>
        </w:rPr>
        <w:t>hôtelier</w:t>
      </w:r>
    </w:p>
    <w:p w14:paraId="0865BF08" w14:textId="38612FBA" w:rsidR="00202B38" w:rsidRDefault="00202B38" w:rsidP="00202B38">
      <w:pPr>
        <w:pStyle w:val="Paragraphedeliste"/>
        <w:numPr>
          <w:ilvl w:val="0"/>
          <w:numId w:val="2"/>
        </w:num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202B38">
        <w:rPr>
          <w:rFonts w:cstheme="minorHAnsi"/>
          <w:sz w:val="24"/>
          <w:szCs w:val="24"/>
        </w:rPr>
        <w:t>Une indemnité à destination des indépendants et entreprises actifs en B</w:t>
      </w:r>
      <w:r w:rsidR="0095211C">
        <w:rPr>
          <w:rFonts w:cstheme="minorHAnsi"/>
          <w:sz w:val="24"/>
          <w:szCs w:val="24"/>
        </w:rPr>
        <w:t xml:space="preserve"> </w:t>
      </w:r>
      <w:r w:rsidRPr="00202B38">
        <w:rPr>
          <w:rFonts w:cstheme="minorHAnsi"/>
          <w:sz w:val="24"/>
          <w:szCs w:val="24"/>
        </w:rPr>
        <w:t>to</w:t>
      </w:r>
      <w:r w:rsidR="0095211C">
        <w:rPr>
          <w:rFonts w:cstheme="minorHAnsi"/>
          <w:sz w:val="24"/>
          <w:szCs w:val="24"/>
        </w:rPr>
        <w:t xml:space="preserve"> </w:t>
      </w:r>
      <w:r w:rsidRPr="00202B38">
        <w:rPr>
          <w:rFonts w:cstheme="minorHAnsi"/>
          <w:sz w:val="24"/>
          <w:szCs w:val="24"/>
        </w:rPr>
        <w:t xml:space="preserve">B et touchés </w:t>
      </w:r>
      <w:r w:rsidR="0095211C">
        <w:rPr>
          <w:rFonts w:cstheme="minorHAnsi"/>
          <w:sz w:val="24"/>
          <w:szCs w:val="24"/>
        </w:rPr>
        <w:t>substantiellement</w:t>
      </w:r>
      <w:r w:rsidRPr="00202B38">
        <w:rPr>
          <w:rFonts w:cstheme="minorHAnsi"/>
          <w:sz w:val="24"/>
          <w:szCs w:val="24"/>
        </w:rPr>
        <w:t xml:space="preserve"> par les décisions de fermeture</w:t>
      </w:r>
    </w:p>
    <w:p w14:paraId="537C2FC8" w14:textId="49288B82" w:rsidR="005F1E19" w:rsidRDefault="005F1E19" w:rsidP="00202B38">
      <w:pPr>
        <w:pStyle w:val="Paragraphedeliste"/>
        <w:numPr>
          <w:ilvl w:val="0"/>
          <w:numId w:val="2"/>
        </w:numPr>
        <w:tabs>
          <w:tab w:val="left" w:pos="851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Une indemnité pour certains secteurs spécifiques comme les agences de voyage</w:t>
      </w:r>
      <w:r w:rsidR="007032AC">
        <w:rPr>
          <w:rFonts w:cstheme="minorHAnsi"/>
          <w:sz w:val="24"/>
          <w:szCs w:val="24"/>
        </w:rPr>
        <w:t xml:space="preserve">s, </w:t>
      </w:r>
      <w:r w:rsidR="00952721">
        <w:rPr>
          <w:rFonts w:cstheme="minorHAnsi"/>
          <w:sz w:val="24"/>
          <w:szCs w:val="24"/>
        </w:rPr>
        <w:t>les louageurs</w:t>
      </w:r>
      <w:r w:rsidR="007032AC">
        <w:rPr>
          <w:rFonts w:cstheme="minorHAnsi"/>
          <w:sz w:val="24"/>
          <w:szCs w:val="24"/>
        </w:rPr>
        <w:t xml:space="preserve">, … </w:t>
      </w:r>
    </w:p>
    <w:p w14:paraId="4B6F80FB" w14:textId="77777777" w:rsidR="005F1E19" w:rsidRPr="00202B38" w:rsidRDefault="005F1E19" w:rsidP="005F1E19">
      <w:pPr>
        <w:pStyle w:val="Paragraphedeliste"/>
        <w:tabs>
          <w:tab w:val="left" w:pos="851"/>
        </w:tabs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600D5799" w14:textId="2DA979A7" w:rsidR="004F5BC9" w:rsidRPr="005F1E19" w:rsidRDefault="00202B38" w:rsidP="005F1E1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5F1E19">
        <w:rPr>
          <w:rFonts w:cstheme="minorHAnsi"/>
          <w:b/>
          <w:bCs/>
          <w:color w:val="000000"/>
          <w:sz w:val="24"/>
          <w:szCs w:val="24"/>
          <w:u w:val="single"/>
        </w:rPr>
        <w:t xml:space="preserve">Indemnité à destination des secteurs toujours </w:t>
      </w:r>
      <w:r w:rsidR="005F1E19">
        <w:rPr>
          <w:rFonts w:cstheme="minorHAnsi"/>
          <w:b/>
          <w:bCs/>
          <w:color w:val="000000"/>
          <w:sz w:val="24"/>
          <w:szCs w:val="24"/>
          <w:u w:val="single"/>
        </w:rPr>
        <w:t>fermés</w:t>
      </w:r>
    </w:p>
    <w:p w14:paraId="73ED344F" w14:textId="77777777" w:rsidR="004F5BC9" w:rsidRDefault="004F5BC9" w:rsidP="004F5BC9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A275A17" w14:textId="4118C7BA" w:rsidR="00202B38" w:rsidRDefault="004F5BC9" w:rsidP="004F5BC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</w:t>
      </w:r>
      <w:r w:rsidR="00202B38" w:rsidRPr="00202B38">
        <w:rPr>
          <w:rFonts w:cstheme="minorHAnsi"/>
          <w:sz w:val="24"/>
          <w:szCs w:val="24"/>
        </w:rPr>
        <w:t xml:space="preserve">Gouvernement </w:t>
      </w:r>
      <w:r>
        <w:rPr>
          <w:rFonts w:cstheme="minorHAnsi"/>
          <w:sz w:val="24"/>
          <w:szCs w:val="24"/>
        </w:rPr>
        <w:t xml:space="preserve">de Wallonie a donc décidé </w:t>
      </w:r>
      <w:r w:rsidR="00202B38" w:rsidRPr="00202B38">
        <w:rPr>
          <w:rFonts w:cstheme="minorHAnsi"/>
          <w:sz w:val="24"/>
          <w:szCs w:val="24"/>
        </w:rPr>
        <w:t xml:space="preserve">d’octroyer une intervention </w:t>
      </w:r>
      <w:r w:rsidR="007032AC">
        <w:rPr>
          <w:rFonts w:cstheme="minorHAnsi"/>
          <w:sz w:val="24"/>
          <w:szCs w:val="24"/>
        </w:rPr>
        <w:t>compensatoire</w:t>
      </w:r>
      <w:r w:rsidR="00202B38" w:rsidRPr="00202B38">
        <w:rPr>
          <w:rFonts w:cstheme="minorHAnsi"/>
          <w:sz w:val="24"/>
          <w:szCs w:val="24"/>
        </w:rPr>
        <w:t xml:space="preserve"> en faveur des établissements toujours fermés actuellement </w:t>
      </w:r>
      <w:r w:rsidR="004761D4">
        <w:rPr>
          <w:rFonts w:cstheme="minorHAnsi"/>
          <w:sz w:val="24"/>
          <w:szCs w:val="24"/>
        </w:rPr>
        <w:t>sur</w:t>
      </w:r>
      <w:r w:rsidR="00202B38" w:rsidRPr="00202B38">
        <w:rPr>
          <w:rFonts w:cstheme="minorHAnsi"/>
          <w:sz w:val="24"/>
          <w:szCs w:val="24"/>
        </w:rPr>
        <w:t xml:space="preserve"> décision </w:t>
      </w:r>
      <w:r>
        <w:rPr>
          <w:rFonts w:cstheme="minorHAnsi"/>
          <w:sz w:val="24"/>
          <w:szCs w:val="24"/>
        </w:rPr>
        <w:t xml:space="preserve">du Comité de concertation. </w:t>
      </w:r>
    </w:p>
    <w:p w14:paraId="2D5F6986" w14:textId="77777777" w:rsidR="004761D4" w:rsidRPr="004F5BC9" w:rsidRDefault="004761D4" w:rsidP="004F5BC9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FDD4F32" w14:textId="58F76BD5" w:rsidR="00202B38" w:rsidRPr="00202B38" w:rsidRDefault="00202B38" w:rsidP="00202B38">
      <w:pPr>
        <w:spacing w:line="264" w:lineRule="auto"/>
        <w:jc w:val="both"/>
        <w:rPr>
          <w:rFonts w:cstheme="minorHAnsi"/>
          <w:sz w:val="24"/>
          <w:szCs w:val="24"/>
        </w:rPr>
      </w:pPr>
      <w:r w:rsidRPr="00202B38">
        <w:rPr>
          <w:rFonts w:cstheme="minorHAnsi"/>
          <w:sz w:val="24"/>
          <w:szCs w:val="24"/>
        </w:rPr>
        <w:t>Les indépendants et entreprises dont l’activité fait partie des secteurs et sous-secteurs suivants sont dès lors éligibles :</w:t>
      </w:r>
    </w:p>
    <w:p w14:paraId="683439AE" w14:textId="77777777" w:rsidR="00202B38" w:rsidRPr="00202B38" w:rsidRDefault="00202B38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2B38">
        <w:rPr>
          <w:rFonts w:cstheme="minorHAnsi"/>
          <w:sz w:val="24"/>
          <w:szCs w:val="24"/>
        </w:rPr>
        <w:t>55.202 Centres et villages de vacances ;</w:t>
      </w:r>
    </w:p>
    <w:p w14:paraId="3695C69E" w14:textId="77777777" w:rsidR="00202B38" w:rsidRPr="00202B38" w:rsidRDefault="00202B38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2B38">
        <w:rPr>
          <w:rFonts w:cstheme="minorHAnsi"/>
          <w:sz w:val="24"/>
          <w:szCs w:val="24"/>
        </w:rPr>
        <w:t>55.300 Terrains de camping et parcs pour caravanes ou véhicules de loisirs ;</w:t>
      </w:r>
    </w:p>
    <w:p w14:paraId="2AF15F49" w14:textId="77777777" w:rsidR="00202B38" w:rsidRPr="00202B38" w:rsidRDefault="00202B38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2B38">
        <w:rPr>
          <w:rFonts w:cstheme="minorHAnsi"/>
          <w:sz w:val="24"/>
          <w:szCs w:val="24"/>
        </w:rPr>
        <w:t>56.101 Restauration à service complet ;</w:t>
      </w:r>
    </w:p>
    <w:p w14:paraId="08E13CBA" w14:textId="77777777" w:rsidR="00202B38" w:rsidRPr="00202B38" w:rsidRDefault="00202B38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2B38">
        <w:rPr>
          <w:rFonts w:cstheme="minorHAnsi"/>
          <w:sz w:val="24"/>
          <w:szCs w:val="24"/>
        </w:rPr>
        <w:t>56.102 Restauration à service restreint ;</w:t>
      </w:r>
    </w:p>
    <w:p w14:paraId="43E370CE" w14:textId="77777777" w:rsidR="00202B38" w:rsidRPr="00202B38" w:rsidRDefault="00202B38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2B38">
        <w:rPr>
          <w:rFonts w:cstheme="minorHAnsi"/>
          <w:sz w:val="24"/>
          <w:szCs w:val="24"/>
        </w:rPr>
        <w:t>56.210 Services des traiteurs ;</w:t>
      </w:r>
    </w:p>
    <w:p w14:paraId="076B6262" w14:textId="77777777" w:rsidR="00202B38" w:rsidRPr="00202B38" w:rsidRDefault="00495DB5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hyperlink r:id="rId9" w:anchor="'Notes Explicatives'!A1299" w:history="1">
        <w:r w:rsidR="00202B38" w:rsidRPr="00202B38">
          <w:rPr>
            <w:rFonts w:cstheme="minorHAnsi"/>
            <w:sz w:val="24"/>
            <w:szCs w:val="24"/>
          </w:rPr>
          <w:t>56.301</w:t>
        </w:r>
      </w:hyperlink>
      <w:r w:rsidR="00202B38" w:rsidRPr="00202B38">
        <w:rPr>
          <w:rFonts w:cstheme="minorHAnsi"/>
          <w:sz w:val="24"/>
          <w:szCs w:val="24"/>
        </w:rPr>
        <w:t xml:space="preserve"> Cafés et bars ;</w:t>
      </w:r>
    </w:p>
    <w:p w14:paraId="3DAA1162" w14:textId="77777777" w:rsidR="00202B38" w:rsidRPr="00202B38" w:rsidRDefault="00495DB5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hyperlink r:id="rId10" w:anchor="'Notes Explicatives'!A1300" w:history="1">
        <w:r w:rsidR="00202B38" w:rsidRPr="00202B38">
          <w:rPr>
            <w:rFonts w:cstheme="minorHAnsi"/>
            <w:sz w:val="24"/>
            <w:szCs w:val="24"/>
          </w:rPr>
          <w:t>56.302</w:t>
        </w:r>
      </w:hyperlink>
      <w:r w:rsidR="00202B38" w:rsidRPr="00202B38">
        <w:rPr>
          <w:rFonts w:cstheme="minorHAnsi"/>
          <w:sz w:val="24"/>
          <w:szCs w:val="24"/>
        </w:rPr>
        <w:t xml:space="preserve"> Discothèques, dancings et similaires ;</w:t>
      </w:r>
    </w:p>
    <w:p w14:paraId="4069B6E4" w14:textId="77777777" w:rsidR="00202B38" w:rsidRPr="00202B38" w:rsidRDefault="00495DB5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hyperlink r:id="rId11" w:anchor="'Notes Explicatives'!A1301" w:history="1">
        <w:r w:rsidR="00202B38" w:rsidRPr="00202B38">
          <w:rPr>
            <w:rFonts w:cstheme="minorHAnsi"/>
            <w:sz w:val="24"/>
            <w:szCs w:val="24"/>
          </w:rPr>
          <w:t>56.309</w:t>
        </w:r>
      </w:hyperlink>
      <w:r w:rsidR="00202B38" w:rsidRPr="00202B38">
        <w:rPr>
          <w:rFonts w:cstheme="minorHAnsi"/>
          <w:sz w:val="24"/>
          <w:szCs w:val="24"/>
        </w:rPr>
        <w:t xml:space="preserve"> Autres débits de boissons ;</w:t>
      </w:r>
    </w:p>
    <w:p w14:paraId="329A1DF3" w14:textId="77777777" w:rsidR="00202B38" w:rsidRPr="00202B38" w:rsidRDefault="00202B38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2B38">
        <w:rPr>
          <w:rFonts w:cstheme="minorHAnsi"/>
          <w:sz w:val="24"/>
          <w:szCs w:val="24"/>
        </w:rPr>
        <w:t>59.140 Projection de films cinématographiques ;</w:t>
      </w:r>
    </w:p>
    <w:p w14:paraId="5D7BB3F0" w14:textId="77777777" w:rsidR="00202B38" w:rsidRPr="00202B38" w:rsidRDefault="00202B38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2B38">
        <w:rPr>
          <w:rFonts w:cstheme="minorHAnsi"/>
          <w:sz w:val="24"/>
          <w:szCs w:val="24"/>
        </w:rPr>
        <w:t>82.300 Organisation de salons professionnels et de congrès ;</w:t>
      </w:r>
    </w:p>
    <w:p w14:paraId="6DB2F505" w14:textId="77777777" w:rsidR="00202B38" w:rsidRPr="00202B38" w:rsidRDefault="00202B38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2B38">
        <w:rPr>
          <w:rFonts w:cstheme="minorHAnsi"/>
          <w:sz w:val="24"/>
          <w:szCs w:val="24"/>
        </w:rPr>
        <w:t xml:space="preserve">85.510 Enseignement de disciplines sportives et d'activités de loisirs ; </w:t>
      </w:r>
    </w:p>
    <w:p w14:paraId="056EC42B" w14:textId="77777777" w:rsidR="00202B38" w:rsidRPr="00202B38" w:rsidRDefault="00202B38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2B38">
        <w:rPr>
          <w:rFonts w:cstheme="minorHAnsi"/>
          <w:sz w:val="24"/>
          <w:szCs w:val="24"/>
        </w:rPr>
        <w:t>85.520 Enseignement culturel ;</w:t>
      </w:r>
    </w:p>
    <w:p w14:paraId="05686923" w14:textId="77777777" w:rsidR="00202B38" w:rsidRPr="00202B38" w:rsidRDefault="00202B38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2B38">
        <w:rPr>
          <w:rFonts w:cstheme="minorHAnsi"/>
          <w:sz w:val="24"/>
          <w:szCs w:val="24"/>
        </w:rPr>
        <w:t>85.532 Enseignement de la conduite d'aéronefs et de bateaux ;</w:t>
      </w:r>
    </w:p>
    <w:p w14:paraId="11960A15" w14:textId="77777777" w:rsidR="00202B38" w:rsidRPr="00202B38" w:rsidRDefault="00495DB5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hyperlink r:id="rId12" w:anchor="'Notes Explicatives'!A1809" w:history="1">
        <w:r w:rsidR="00202B38" w:rsidRPr="00202B38">
          <w:rPr>
            <w:rFonts w:cstheme="minorHAnsi"/>
            <w:sz w:val="24"/>
            <w:szCs w:val="24"/>
          </w:rPr>
          <w:t>90.021</w:t>
        </w:r>
      </w:hyperlink>
      <w:r w:rsidR="00202B38" w:rsidRPr="00202B38">
        <w:rPr>
          <w:rFonts w:cstheme="minorHAnsi"/>
          <w:sz w:val="24"/>
          <w:szCs w:val="24"/>
        </w:rPr>
        <w:t xml:space="preserve"> Promotion et organisation de spectacles vivants ;</w:t>
      </w:r>
    </w:p>
    <w:p w14:paraId="440D7B1B" w14:textId="77777777" w:rsidR="00202B38" w:rsidRPr="00202B38" w:rsidRDefault="00495DB5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hyperlink r:id="rId13" w:anchor="'Notes Explicatives'!A1817" w:history="1">
        <w:r w:rsidR="00202B38" w:rsidRPr="00202B38">
          <w:rPr>
            <w:rFonts w:cstheme="minorHAnsi"/>
            <w:sz w:val="24"/>
            <w:szCs w:val="24"/>
          </w:rPr>
          <w:t>90.041</w:t>
        </w:r>
      </w:hyperlink>
      <w:r w:rsidR="00202B38" w:rsidRPr="00202B38">
        <w:rPr>
          <w:rFonts w:cstheme="minorHAnsi"/>
          <w:sz w:val="24"/>
          <w:szCs w:val="24"/>
        </w:rPr>
        <w:t xml:space="preserve"> Gestion de salles de théâtre, de concerts et similaires ;</w:t>
      </w:r>
    </w:p>
    <w:p w14:paraId="54388C7B" w14:textId="77777777" w:rsidR="00202B38" w:rsidRPr="00202B38" w:rsidRDefault="00495DB5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hyperlink r:id="rId14" w:anchor="'Notes Explicatives'!A1818" w:history="1">
        <w:r w:rsidR="00202B38" w:rsidRPr="00202B38">
          <w:rPr>
            <w:rFonts w:cstheme="minorHAnsi"/>
            <w:sz w:val="24"/>
            <w:szCs w:val="24"/>
          </w:rPr>
          <w:t>90.042</w:t>
        </w:r>
      </w:hyperlink>
      <w:r w:rsidR="00202B38" w:rsidRPr="00202B38">
        <w:rPr>
          <w:rFonts w:cstheme="minorHAnsi"/>
          <w:sz w:val="24"/>
          <w:szCs w:val="24"/>
        </w:rPr>
        <w:t xml:space="preserve"> Gestion de centres culturels et de salles multifonctionnelles à vocation culturelle ;  </w:t>
      </w:r>
    </w:p>
    <w:p w14:paraId="18722413" w14:textId="77777777" w:rsidR="00202B38" w:rsidRPr="00202B38" w:rsidRDefault="00495DB5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hyperlink r:id="rId15" w:anchor="'Notes Explicatives'!A1827" w:history="1">
        <w:r w:rsidR="00202B38" w:rsidRPr="00202B38">
          <w:rPr>
            <w:rFonts w:cstheme="minorHAnsi"/>
            <w:sz w:val="24"/>
            <w:szCs w:val="24"/>
          </w:rPr>
          <w:t>91.030</w:t>
        </w:r>
      </w:hyperlink>
      <w:r w:rsidR="00202B38" w:rsidRPr="00202B38">
        <w:rPr>
          <w:rFonts w:cstheme="minorHAnsi"/>
          <w:sz w:val="24"/>
          <w:szCs w:val="24"/>
        </w:rPr>
        <w:t xml:space="preserve"> Gestion des sites et monuments historiques et des attractions touristiques similaires ;</w:t>
      </w:r>
    </w:p>
    <w:p w14:paraId="6DDEBB20" w14:textId="77777777" w:rsidR="00202B38" w:rsidRPr="00202B38" w:rsidRDefault="00495DB5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hyperlink r:id="rId16" w:anchor="'Notes Explicatives'!A1829" w:history="1">
        <w:r w:rsidR="00202B38" w:rsidRPr="00202B38">
          <w:rPr>
            <w:rFonts w:cstheme="minorHAnsi"/>
            <w:sz w:val="24"/>
            <w:szCs w:val="24"/>
          </w:rPr>
          <w:t>91.041</w:t>
        </w:r>
      </w:hyperlink>
      <w:r w:rsidR="00202B38" w:rsidRPr="00202B38">
        <w:rPr>
          <w:rFonts w:cstheme="minorHAnsi"/>
          <w:sz w:val="24"/>
          <w:szCs w:val="24"/>
        </w:rPr>
        <w:t xml:space="preserve"> Gestion des jardins botaniques et zoologiques ;</w:t>
      </w:r>
    </w:p>
    <w:p w14:paraId="14BDACBE" w14:textId="77777777" w:rsidR="00202B38" w:rsidRPr="00202B38" w:rsidRDefault="00202B38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2B38">
        <w:rPr>
          <w:rFonts w:cstheme="minorHAnsi"/>
          <w:sz w:val="24"/>
          <w:szCs w:val="24"/>
        </w:rPr>
        <w:t>93.110 Gestion d'installations sportives ;</w:t>
      </w:r>
    </w:p>
    <w:p w14:paraId="4B98C113" w14:textId="77777777" w:rsidR="00202B38" w:rsidRPr="00202B38" w:rsidRDefault="00202B38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2B38">
        <w:rPr>
          <w:rFonts w:cstheme="minorHAnsi"/>
          <w:sz w:val="24"/>
          <w:szCs w:val="24"/>
        </w:rPr>
        <w:t>93.121 à 129 Activités des clubs de sports ;</w:t>
      </w:r>
    </w:p>
    <w:p w14:paraId="3E33DDC1" w14:textId="77777777" w:rsidR="00202B38" w:rsidRPr="00202B38" w:rsidRDefault="00495DB5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hyperlink r:id="rId17" w:anchor="'Notes Explicatives'!A1850" w:history="1">
        <w:r w:rsidR="00202B38" w:rsidRPr="00202B38">
          <w:rPr>
            <w:rFonts w:cstheme="minorHAnsi"/>
            <w:sz w:val="24"/>
            <w:szCs w:val="24"/>
            <w:lang w:eastAsia="fr-BE"/>
          </w:rPr>
          <w:t>93.130</w:t>
        </w:r>
      </w:hyperlink>
      <w:r w:rsidR="00202B38" w:rsidRPr="00202B38">
        <w:rPr>
          <w:rFonts w:cstheme="minorHAnsi"/>
          <w:sz w:val="24"/>
          <w:szCs w:val="24"/>
          <w:lang w:eastAsia="fr-BE"/>
        </w:rPr>
        <w:t xml:space="preserve"> Activités des centres de culture physique ;  </w:t>
      </w:r>
    </w:p>
    <w:p w14:paraId="66CF0582" w14:textId="47C07CFA" w:rsidR="00202B38" w:rsidRPr="00202B38" w:rsidRDefault="00495DB5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hyperlink r:id="rId18" w:anchor="'Notes Explicatives'!A1854" w:history="1">
        <w:r w:rsidR="00202B38" w:rsidRPr="00202B38">
          <w:rPr>
            <w:rFonts w:cstheme="minorHAnsi"/>
            <w:sz w:val="24"/>
            <w:szCs w:val="24"/>
            <w:lang w:eastAsia="fr-BE"/>
          </w:rPr>
          <w:t>93.199</w:t>
        </w:r>
      </w:hyperlink>
      <w:r w:rsidR="00202B38" w:rsidRPr="00202B38">
        <w:rPr>
          <w:rFonts w:cstheme="minorHAnsi"/>
          <w:sz w:val="24"/>
          <w:szCs w:val="24"/>
          <w:lang w:eastAsia="fr-BE"/>
        </w:rPr>
        <w:t xml:space="preserve"> Autres activités sportives ;</w:t>
      </w:r>
    </w:p>
    <w:p w14:paraId="2F13489C" w14:textId="77777777" w:rsidR="00202B38" w:rsidRPr="00202B38" w:rsidRDefault="00495DB5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hyperlink r:id="rId19" w:anchor="'Notes Explicatives'!A1857" w:history="1">
        <w:r w:rsidR="00202B38" w:rsidRPr="00202B38">
          <w:rPr>
            <w:rFonts w:cstheme="minorHAnsi"/>
            <w:sz w:val="24"/>
            <w:szCs w:val="24"/>
            <w:lang w:eastAsia="fr-BE"/>
          </w:rPr>
          <w:t>93.211</w:t>
        </w:r>
      </w:hyperlink>
      <w:r w:rsidR="00202B38" w:rsidRPr="00202B38">
        <w:rPr>
          <w:rFonts w:cstheme="minorHAnsi"/>
          <w:sz w:val="24"/>
          <w:szCs w:val="24"/>
          <w:lang w:eastAsia="fr-BE"/>
        </w:rPr>
        <w:t xml:space="preserve"> Activités foraines ;</w:t>
      </w:r>
    </w:p>
    <w:p w14:paraId="11D5503B" w14:textId="77777777" w:rsidR="00202B38" w:rsidRPr="00202B38" w:rsidRDefault="00495DB5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hyperlink r:id="rId20" w:anchor="'Notes Explicatives'!A1858" w:history="1">
        <w:r w:rsidR="00202B38" w:rsidRPr="00202B38">
          <w:rPr>
            <w:rFonts w:cstheme="minorHAnsi"/>
            <w:sz w:val="24"/>
            <w:szCs w:val="24"/>
            <w:lang w:eastAsia="fr-BE"/>
          </w:rPr>
          <w:t>93.212</w:t>
        </w:r>
      </w:hyperlink>
      <w:r w:rsidR="00202B38" w:rsidRPr="00202B38">
        <w:rPr>
          <w:rFonts w:cstheme="minorHAnsi"/>
          <w:sz w:val="24"/>
          <w:szCs w:val="24"/>
          <w:lang w:eastAsia="fr-BE"/>
        </w:rPr>
        <w:t xml:space="preserve"> Activités des parcs d'attractions et des parcs à thèmes ;</w:t>
      </w:r>
    </w:p>
    <w:p w14:paraId="3F73ACD1" w14:textId="77777777" w:rsidR="00202B38" w:rsidRPr="00202B38" w:rsidRDefault="00495DB5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hyperlink r:id="rId21" w:anchor="'Notes Explicatives'!A1860" w:history="1">
        <w:r w:rsidR="00202B38" w:rsidRPr="00202B38">
          <w:rPr>
            <w:rFonts w:cstheme="minorHAnsi"/>
            <w:sz w:val="24"/>
            <w:szCs w:val="24"/>
            <w:lang w:eastAsia="fr-BE"/>
          </w:rPr>
          <w:t>93.291</w:t>
        </w:r>
      </w:hyperlink>
      <w:r w:rsidR="00202B38" w:rsidRPr="00202B38">
        <w:rPr>
          <w:rFonts w:cstheme="minorHAnsi"/>
          <w:sz w:val="24"/>
          <w:szCs w:val="24"/>
          <w:lang w:eastAsia="fr-BE"/>
        </w:rPr>
        <w:t xml:space="preserve"> Exploitation de salles de billard et de snooker</w:t>
      </w:r>
    </w:p>
    <w:p w14:paraId="53B9AF68" w14:textId="77777777" w:rsidR="00202B38" w:rsidRPr="00202B38" w:rsidRDefault="00495DB5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hyperlink r:id="rId22" w:anchor="'Notes Explicatives'!A1861" w:history="1">
        <w:r w:rsidR="00202B38" w:rsidRPr="00202B38">
          <w:rPr>
            <w:rFonts w:cstheme="minorHAnsi"/>
            <w:sz w:val="24"/>
            <w:szCs w:val="24"/>
            <w:lang w:eastAsia="fr-BE"/>
          </w:rPr>
          <w:t>93.292</w:t>
        </w:r>
      </w:hyperlink>
      <w:r w:rsidR="00202B38" w:rsidRPr="00202B38">
        <w:rPr>
          <w:rFonts w:cstheme="minorHAnsi"/>
          <w:sz w:val="24"/>
          <w:szCs w:val="24"/>
          <w:lang w:eastAsia="fr-BE"/>
        </w:rPr>
        <w:t xml:space="preserve"> Exploitation de domaines récréatifs ;</w:t>
      </w:r>
    </w:p>
    <w:p w14:paraId="158B0EB0" w14:textId="77777777" w:rsidR="00202B38" w:rsidRPr="00202B38" w:rsidRDefault="00202B38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2B38">
        <w:rPr>
          <w:rFonts w:cstheme="minorHAnsi"/>
          <w:sz w:val="24"/>
          <w:szCs w:val="24"/>
          <w:lang w:eastAsia="fr-BE"/>
        </w:rPr>
        <w:t>93.299 Autres activités récréatives et de loisirs ;</w:t>
      </w:r>
    </w:p>
    <w:p w14:paraId="12BF2A9D" w14:textId="77777777" w:rsidR="00202B38" w:rsidRPr="00202B38" w:rsidRDefault="00495DB5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hyperlink r:id="rId23" w:anchor="'Notes Explicatives'!A1910" w:history="1">
        <w:r w:rsidR="00202B38" w:rsidRPr="00202B38">
          <w:rPr>
            <w:rFonts w:cstheme="minorHAnsi"/>
            <w:sz w:val="24"/>
            <w:szCs w:val="24"/>
            <w:lang w:eastAsia="fr-BE"/>
          </w:rPr>
          <w:t>96.021</w:t>
        </w:r>
      </w:hyperlink>
      <w:r w:rsidR="00202B38" w:rsidRPr="00202B38">
        <w:rPr>
          <w:rFonts w:cstheme="minorHAnsi"/>
          <w:sz w:val="24"/>
          <w:szCs w:val="24"/>
          <w:lang w:eastAsia="fr-BE"/>
        </w:rPr>
        <w:t xml:space="preserve"> Coiffure ;</w:t>
      </w:r>
    </w:p>
    <w:p w14:paraId="4AD2971C" w14:textId="77777777" w:rsidR="00202B38" w:rsidRPr="00202B38" w:rsidRDefault="00495DB5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hyperlink r:id="rId24" w:anchor="'Notes Explicatives'!A1911" w:history="1">
        <w:r w:rsidR="00202B38" w:rsidRPr="00202B38">
          <w:rPr>
            <w:rFonts w:cstheme="minorHAnsi"/>
            <w:sz w:val="24"/>
            <w:szCs w:val="24"/>
            <w:lang w:eastAsia="fr-BE"/>
          </w:rPr>
          <w:t>96.022</w:t>
        </w:r>
      </w:hyperlink>
      <w:r w:rsidR="00202B38" w:rsidRPr="00202B38">
        <w:rPr>
          <w:rFonts w:cstheme="minorHAnsi"/>
          <w:sz w:val="24"/>
          <w:szCs w:val="24"/>
          <w:lang w:eastAsia="fr-BE"/>
        </w:rPr>
        <w:t xml:space="preserve"> Soins de beauté ;</w:t>
      </w:r>
    </w:p>
    <w:p w14:paraId="0BFBF15B" w14:textId="77777777" w:rsidR="00202B38" w:rsidRPr="00202B38" w:rsidRDefault="00495DB5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hyperlink r:id="rId25" w:anchor="'Notes Explicatives'!A1916" w:history="1">
        <w:r w:rsidR="00202B38" w:rsidRPr="00202B38">
          <w:rPr>
            <w:rFonts w:cstheme="minorHAnsi"/>
            <w:sz w:val="24"/>
            <w:szCs w:val="24"/>
            <w:lang w:eastAsia="fr-BE"/>
          </w:rPr>
          <w:t>96.040</w:t>
        </w:r>
      </w:hyperlink>
      <w:r w:rsidR="00202B38" w:rsidRPr="00202B38">
        <w:rPr>
          <w:rFonts w:cstheme="minorHAnsi"/>
          <w:sz w:val="24"/>
          <w:szCs w:val="24"/>
          <w:lang w:eastAsia="fr-BE"/>
        </w:rPr>
        <w:t xml:space="preserve"> Entretien corporel ;</w:t>
      </w:r>
    </w:p>
    <w:p w14:paraId="5B66DDEA" w14:textId="77777777" w:rsidR="00202B38" w:rsidRPr="00202B38" w:rsidRDefault="00202B38" w:rsidP="00202B3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  <w:lang w:eastAsia="fr-BE"/>
        </w:rPr>
      </w:pPr>
      <w:r w:rsidRPr="00202B38">
        <w:rPr>
          <w:rFonts w:cstheme="minorHAnsi"/>
          <w:sz w:val="24"/>
          <w:szCs w:val="24"/>
          <w:lang w:eastAsia="fr-BE"/>
        </w:rPr>
        <w:t>96.092 Services de tatouage et de piercing.</w:t>
      </w:r>
    </w:p>
    <w:p w14:paraId="69FCDB2F" w14:textId="77777777" w:rsidR="00EA10EC" w:rsidRDefault="00EA10EC" w:rsidP="001C37FD">
      <w:pPr>
        <w:spacing w:line="252" w:lineRule="auto"/>
        <w:jc w:val="both"/>
        <w:rPr>
          <w:rFonts w:cstheme="minorHAnsi"/>
          <w:color w:val="000000"/>
          <w:sz w:val="24"/>
          <w:szCs w:val="24"/>
        </w:rPr>
      </w:pPr>
    </w:p>
    <w:p w14:paraId="2AE666A6" w14:textId="65FE5B2E" w:rsidR="001C37FD" w:rsidRDefault="001C37FD" w:rsidP="001C37FD">
      <w:pPr>
        <w:spacing w:line="252" w:lineRule="auto"/>
        <w:jc w:val="both"/>
        <w:rPr>
          <w:rFonts w:cstheme="minorHAnsi"/>
          <w:color w:val="000000"/>
          <w:sz w:val="24"/>
          <w:szCs w:val="24"/>
          <w:lang w:eastAsia="fr-BE"/>
        </w:rPr>
      </w:pPr>
      <w:r>
        <w:rPr>
          <w:rFonts w:cstheme="minorHAnsi"/>
          <w:color w:val="000000"/>
          <w:sz w:val="24"/>
          <w:szCs w:val="24"/>
          <w:lang w:eastAsia="fr-BE"/>
        </w:rPr>
        <w:t>Le Gouvernement a décidé d’octroyer :</w:t>
      </w:r>
    </w:p>
    <w:p w14:paraId="6B3181E9" w14:textId="6D554328" w:rsidR="001C37FD" w:rsidRDefault="001C37FD" w:rsidP="001C37FD">
      <w:pPr>
        <w:pStyle w:val="Paragraphedeliste"/>
        <w:numPr>
          <w:ilvl w:val="0"/>
          <w:numId w:val="8"/>
        </w:numPr>
        <w:spacing w:line="252" w:lineRule="auto"/>
        <w:jc w:val="both"/>
        <w:rPr>
          <w:rFonts w:cstheme="minorHAnsi"/>
          <w:color w:val="000000"/>
          <w:sz w:val="24"/>
          <w:szCs w:val="24"/>
          <w:lang w:eastAsia="fr-BE"/>
        </w:rPr>
      </w:pPr>
      <w:r w:rsidRPr="001C37FD">
        <w:rPr>
          <w:rFonts w:cstheme="minorHAnsi"/>
          <w:color w:val="000000"/>
          <w:sz w:val="24"/>
          <w:szCs w:val="24"/>
          <w:lang w:eastAsia="fr-BE"/>
        </w:rPr>
        <w:t xml:space="preserve">une indemnité variant de </w:t>
      </w:r>
      <w:r w:rsidRPr="00EA10EC">
        <w:rPr>
          <w:rFonts w:cstheme="minorHAnsi"/>
          <w:b/>
          <w:bCs/>
          <w:color w:val="000000"/>
          <w:sz w:val="24"/>
          <w:szCs w:val="24"/>
          <w:lang w:eastAsia="fr-BE"/>
        </w:rPr>
        <w:t>4.000 € à 12.000 €</w:t>
      </w:r>
      <w:r w:rsidRPr="001C37FD">
        <w:rPr>
          <w:rFonts w:cstheme="minorHAnsi"/>
          <w:color w:val="000000"/>
          <w:sz w:val="24"/>
          <w:szCs w:val="24"/>
          <w:lang w:eastAsia="fr-BE"/>
        </w:rPr>
        <w:t xml:space="preserve"> aux indépendants</w:t>
      </w:r>
      <w:r>
        <w:rPr>
          <w:rFonts w:cstheme="minorHAnsi"/>
          <w:color w:val="000000"/>
          <w:sz w:val="24"/>
          <w:szCs w:val="24"/>
          <w:lang w:eastAsia="fr-BE"/>
        </w:rPr>
        <w:t>/</w:t>
      </w:r>
      <w:r w:rsidRPr="001C37FD">
        <w:rPr>
          <w:rFonts w:cstheme="minorHAnsi"/>
          <w:color w:val="000000"/>
          <w:sz w:val="24"/>
          <w:szCs w:val="24"/>
          <w:lang w:eastAsia="fr-BE"/>
        </w:rPr>
        <w:t xml:space="preserve">entreprises </w:t>
      </w:r>
      <w:r>
        <w:rPr>
          <w:rFonts w:cstheme="minorHAnsi"/>
          <w:color w:val="000000"/>
          <w:sz w:val="24"/>
          <w:szCs w:val="24"/>
          <w:lang w:eastAsia="fr-BE"/>
        </w:rPr>
        <w:t xml:space="preserve">fermés </w:t>
      </w:r>
      <w:r w:rsidRPr="001C37FD">
        <w:rPr>
          <w:rFonts w:cstheme="minorHAnsi"/>
          <w:color w:val="000000"/>
          <w:sz w:val="24"/>
          <w:szCs w:val="24"/>
          <w:u w:val="single"/>
          <w:lang w:eastAsia="fr-BE"/>
        </w:rPr>
        <w:t>depuis le 19 octobre 2020</w:t>
      </w:r>
      <w:r w:rsidRPr="001C37FD">
        <w:rPr>
          <w:rFonts w:cstheme="minorHAnsi"/>
          <w:color w:val="000000"/>
          <w:sz w:val="24"/>
          <w:szCs w:val="24"/>
          <w:lang w:eastAsia="fr-BE"/>
        </w:rPr>
        <w:t>.</w:t>
      </w:r>
    </w:p>
    <w:p w14:paraId="4068AC62" w14:textId="4BD5835C" w:rsidR="001C37FD" w:rsidRPr="001C37FD" w:rsidRDefault="001C37FD" w:rsidP="001C37FD">
      <w:pPr>
        <w:pStyle w:val="Paragraphedeliste"/>
        <w:numPr>
          <w:ilvl w:val="0"/>
          <w:numId w:val="8"/>
        </w:numPr>
        <w:spacing w:line="252" w:lineRule="auto"/>
        <w:jc w:val="both"/>
        <w:rPr>
          <w:rFonts w:cstheme="minorHAnsi"/>
          <w:color w:val="000000"/>
          <w:sz w:val="24"/>
          <w:szCs w:val="24"/>
          <w:lang w:eastAsia="fr-BE"/>
        </w:rPr>
      </w:pPr>
      <w:r w:rsidRPr="001C37FD">
        <w:rPr>
          <w:rFonts w:cstheme="minorHAnsi"/>
          <w:color w:val="000000"/>
          <w:sz w:val="24"/>
          <w:szCs w:val="24"/>
          <w:lang w:eastAsia="fr-BE"/>
        </w:rPr>
        <w:t xml:space="preserve">une indemnité variant de </w:t>
      </w:r>
      <w:r w:rsidRPr="00EA10EC">
        <w:rPr>
          <w:rFonts w:cstheme="minorHAnsi"/>
          <w:b/>
          <w:bCs/>
          <w:color w:val="000000"/>
          <w:sz w:val="24"/>
          <w:szCs w:val="24"/>
          <w:lang w:eastAsia="fr-BE"/>
        </w:rPr>
        <w:t>3.250 € à 9.750 €</w:t>
      </w:r>
      <w:r w:rsidRPr="001C37FD">
        <w:rPr>
          <w:rFonts w:cstheme="minorHAnsi"/>
          <w:color w:val="000000"/>
          <w:sz w:val="24"/>
          <w:szCs w:val="24"/>
          <w:lang w:eastAsia="fr-BE"/>
        </w:rPr>
        <w:t xml:space="preserve"> aux indépendants</w:t>
      </w:r>
      <w:r>
        <w:rPr>
          <w:rFonts w:cstheme="minorHAnsi"/>
          <w:color w:val="000000"/>
          <w:sz w:val="24"/>
          <w:szCs w:val="24"/>
          <w:lang w:eastAsia="fr-BE"/>
        </w:rPr>
        <w:t>/</w:t>
      </w:r>
      <w:r w:rsidRPr="001C37FD">
        <w:rPr>
          <w:rFonts w:cstheme="minorHAnsi"/>
          <w:color w:val="000000"/>
          <w:sz w:val="24"/>
          <w:szCs w:val="24"/>
          <w:lang w:eastAsia="fr-BE"/>
        </w:rPr>
        <w:t xml:space="preserve">entreprises </w:t>
      </w:r>
      <w:r>
        <w:rPr>
          <w:rFonts w:cstheme="minorHAnsi"/>
          <w:color w:val="000000"/>
          <w:sz w:val="24"/>
          <w:szCs w:val="24"/>
          <w:lang w:eastAsia="fr-BE"/>
        </w:rPr>
        <w:t xml:space="preserve">fermés </w:t>
      </w:r>
      <w:r w:rsidRPr="001C37FD">
        <w:rPr>
          <w:rFonts w:cstheme="minorHAnsi"/>
          <w:color w:val="000000"/>
          <w:sz w:val="24"/>
          <w:szCs w:val="24"/>
          <w:u w:val="single"/>
          <w:lang w:eastAsia="fr-BE"/>
        </w:rPr>
        <w:t>depuis le 2 novembre 2020</w:t>
      </w:r>
      <w:r w:rsidRPr="001C37FD">
        <w:rPr>
          <w:rFonts w:cstheme="minorHAnsi"/>
          <w:color w:val="000000"/>
          <w:sz w:val="24"/>
          <w:szCs w:val="24"/>
          <w:lang w:eastAsia="fr-BE"/>
        </w:rPr>
        <w:t xml:space="preserve">. </w:t>
      </w:r>
    </w:p>
    <w:p w14:paraId="1F3876F5" w14:textId="7D68682A" w:rsidR="001C37FD" w:rsidRPr="001C37FD" w:rsidRDefault="001C37FD" w:rsidP="001C37FD">
      <w:pPr>
        <w:spacing w:line="259" w:lineRule="auto"/>
        <w:jc w:val="both"/>
        <w:rPr>
          <w:rFonts w:cstheme="minorHAnsi"/>
          <w:color w:val="000000"/>
          <w:sz w:val="24"/>
          <w:szCs w:val="24"/>
          <w:lang w:eastAsia="fr-BE"/>
        </w:rPr>
      </w:pPr>
      <w:r w:rsidRPr="001C37FD">
        <w:rPr>
          <w:rFonts w:cstheme="minorHAnsi"/>
          <w:color w:val="000000"/>
          <w:sz w:val="24"/>
          <w:szCs w:val="24"/>
          <w:lang w:eastAsia="fr-BE"/>
        </w:rPr>
        <w:t>Cette indemnité sera</w:t>
      </w:r>
      <w:r w:rsidR="004F5BC9" w:rsidRPr="001C37FD">
        <w:rPr>
          <w:rFonts w:cstheme="minorHAnsi"/>
          <w:color w:val="000000"/>
          <w:sz w:val="24"/>
          <w:szCs w:val="24"/>
          <w:lang w:eastAsia="fr-BE"/>
        </w:rPr>
        <w:t xml:space="preserve"> accordée en </w:t>
      </w:r>
      <w:r w:rsidR="00202B38" w:rsidRPr="001C37FD">
        <w:rPr>
          <w:rFonts w:cstheme="minorHAnsi"/>
          <w:color w:val="000000"/>
          <w:sz w:val="24"/>
          <w:szCs w:val="24"/>
          <w:lang w:eastAsia="fr-BE"/>
        </w:rPr>
        <w:t>fonction de la taille de l’entreprise, traduite en catégorie d’ETP :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559"/>
        <w:gridCol w:w="1417"/>
        <w:gridCol w:w="1560"/>
        <w:gridCol w:w="2399"/>
      </w:tblGrid>
      <w:tr w:rsidR="001C37FD" w:rsidRPr="001C37FD" w14:paraId="1257B949" w14:textId="77777777" w:rsidTr="001C37FD">
        <w:trPr>
          <w:trHeight w:val="30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50FFEC6" w14:textId="77777777" w:rsidR="001C37FD" w:rsidRPr="001C37FD" w:rsidRDefault="001C37FD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69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3863C1" w14:textId="15B03C8F" w:rsidR="001C37FD" w:rsidRPr="001C37FD" w:rsidRDefault="001C37FD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1C37FD">
              <w:rPr>
                <w:rFonts w:cstheme="minorHAnsi"/>
                <w:color w:val="000000"/>
                <w:sz w:val="24"/>
                <w:szCs w:val="24"/>
                <w:lang w:eastAsia="fr-BE"/>
              </w:rPr>
              <w:t>Catégories (ETP)</w:t>
            </w:r>
          </w:p>
        </w:tc>
      </w:tr>
      <w:tr w:rsidR="001C37FD" w:rsidRPr="001C37FD" w14:paraId="4D9E447B" w14:textId="77777777" w:rsidTr="001C37FD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F3225" w14:textId="77777777" w:rsidR="001C37FD" w:rsidRPr="001C37FD" w:rsidRDefault="001C37FD" w:rsidP="001C37FD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6BD4A6" w14:textId="552CADA5" w:rsidR="001C37FD" w:rsidRPr="001C37FD" w:rsidRDefault="001C37FD" w:rsidP="001C37FD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1C37FD">
              <w:rPr>
                <w:rFonts w:cstheme="minorHAnsi"/>
                <w:color w:val="000000"/>
                <w:sz w:val="24"/>
                <w:szCs w:val="24"/>
                <w:lang w:eastAsia="fr-B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C9C7D0" w14:textId="79A9AF40" w:rsidR="001C37FD" w:rsidRPr="001C37FD" w:rsidRDefault="001C37FD" w:rsidP="001C37FD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1C37FD">
              <w:rPr>
                <w:rFonts w:cstheme="minorHAnsi"/>
                <w:color w:val="000000"/>
                <w:sz w:val="24"/>
                <w:szCs w:val="24"/>
                <w:lang w:eastAsia="fr-BE"/>
              </w:rPr>
              <w:t>1-4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03326E" w14:textId="26B7FD84" w:rsidR="001C37FD" w:rsidRPr="001C37FD" w:rsidRDefault="001C37FD" w:rsidP="001C37FD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1C37FD">
              <w:rPr>
                <w:rFonts w:cstheme="minorHAnsi"/>
                <w:color w:val="000000"/>
                <w:sz w:val="24"/>
                <w:szCs w:val="24"/>
                <w:lang w:eastAsia="fr-BE"/>
              </w:rPr>
              <w:t>5-9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B284D3" w14:textId="4CFC617D" w:rsidR="001C37FD" w:rsidRPr="001C37FD" w:rsidRDefault="001C37FD" w:rsidP="001C37FD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1C37FD">
              <w:rPr>
                <w:rFonts w:cstheme="minorHAnsi"/>
                <w:color w:val="000000"/>
                <w:sz w:val="24"/>
                <w:szCs w:val="24"/>
                <w:lang w:eastAsia="fr-BE"/>
              </w:rPr>
              <w:t>10+</w:t>
            </w:r>
          </w:p>
        </w:tc>
      </w:tr>
      <w:tr w:rsidR="001C37FD" w:rsidRPr="001C37FD" w14:paraId="47075D9D" w14:textId="77777777" w:rsidTr="001C37FD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3116A" w14:textId="39A83188" w:rsidR="001C37FD" w:rsidRPr="001C37FD" w:rsidRDefault="001C37FD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1C37FD">
              <w:rPr>
                <w:rFonts w:cstheme="minorHAnsi"/>
                <w:color w:val="000000"/>
                <w:sz w:val="24"/>
                <w:szCs w:val="24"/>
                <w:lang w:eastAsia="fr-BE"/>
              </w:rPr>
              <w:t>Fermés le 19/10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B5F481" w14:textId="48C94610" w:rsidR="001C37FD" w:rsidRPr="001C37FD" w:rsidRDefault="001C37FD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1C37FD">
              <w:rPr>
                <w:rFonts w:cstheme="minorHAnsi"/>
                <w:color w:val="000000"/>
                <w:sz w:val="24"/>
                <w:szCs w:val="24"/>
                <w:lang w:eastAsia="fr-BE"/>
              </w:rPr>
              <w:t>4000 €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1E031" w14:textId="0CCFE5DE" w:rsidR="001C37FD" w:rsidRPr="001C37FD" w:rsidRDefault="001C37FD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1C37FD">
              <w:rPr>
                <w:rFonts w:cstheme="minorHAnsi"/>
                <w:color w:val="000000"/>
                <w:sz w:val="24"/>
                <w:szCs w:val="24"/>
                <w:lang w:eastAsia="fr-BE"/>
              </w:rPr>
              <w:t>6500 €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B27DC9" w14:textId="453CBD17" w:rsidR="001C37FD" w:rsidRPr="001C37FD" w:rsidRDefault="001C37FD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1C37FD">
              <w:rPr>
                <w:rFonts w:cstheme="minorHAnsi"/>
                <w:color w:val="000000"/>
                <w:sz w:val="24"/>
                <w:szCs w:val="24"/>
                <w:lang w:eastAsia="fr-BE"/>
              </w:rPr>
              <w:t>9500 €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905486" w14:textId="1A1831DE" w:rsidR="001C37FD" w:rsidRPr="001C37FD" w:rsidRDefault="001C37FD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1C37FD">
              <w:rPr>
                <w:rFonts w:cstheme="minorHAnsi"/>
                <w:color w:val="000000"/>
                <w:sz w:val="24"/>
                <w:szCs w:val="24"/>
                <w:lang w:eastAsia="fr-BE"/>
              </w:rPr>
              <w:t>12000 €</w:t>
            </w:r>
          </w:p>
        </w:tc>
      </w:tr>
      <w:tr w:rsidR="001C37FD" w:rsidRPr="001C37FD" w14:paraId="4D0B4731" w14:textId="77777777" w:rsidTr="001C37FD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103F5" w14:textId="5FF65360" w:rsidR="001C37FD" w:rsidRPr="001C37FD" w:rsidRDefault="001C37FD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1C37FD">
              <w:rPr>
                <w:rFonts w:cstheme="minorHAnsi"/>
                <w:color w:val="000000"/>
                <w:sz w:val="24"/>
                <w:szCs w:val="24"/>
                <w:lang w:eastAsia="fr-BE"/>
              </w:rPr>
              <w:t>Fermés le 02/11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9F2E13" w14:textId="2B18F8D8" w:rsidR="001C37FD" w:rsidRPr="001C37FD" w:rsidRDefault="001C37FD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1C37FD">
              <w:rPr>
                <w:rFonts w:cstheme="minorHAnsi"/>
                <w:color w:val="000000"/>
                <w:sz w:val="24"/>
                <w:szCs w:val="24"/>
                <w:lang w:eastAsia="fr-BE"/>
              </w:rPr>
              <w:t>3250 €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B740CD" w14:textId="3602A9BA" w:rsidR="001C37FD" w:rsidRPr="001C37FD" w:rsidRDefault="001C37FD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1C37FD">
              <w:rPr>
                <w:rFonts w:cstheme="minorHAnsi"/>
                <w:color w:val="000000"/>
                <w:sz w:val="24"/>
                <w:szCs w:val="24"/>
                <w:lang w:eastAsia="fr-BE"/>
              </w:rPr>
              <w:t>5500 €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3DF7A1" w14:textId="1483D9B1" w:rsidR="001C37FD" w:rsidRPr="001C37FD" w:rsidRDefault="001C37FD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1C37FD">
              <w:rPr>
                <w:rFonts w:cstheme="minorHAnsi"/>
                <w:color w:val="000000"/>
                <w:sz w:val="24"/>
                <w:szCs w:val="24"/>
                <w:lang w:eastAsia="fr-BE"/>
              </w:rPr>
              <w:t>7500 €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51A3F1" w14:textId="366F8669" w:rsidR="001C37FD" w:rsidRPr="001C37FD" w:rsidRDefault="001C37FD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1C37FD">
              <w:rPr>
                <w:rFonts w:cstheme="minorHAnsi"/>
                <w:color w:val="000000"/>
                <w:sz w:val="24"/>
                <w:szCs w:val="24"/>
                <w:lang w:eastAsia="fr-BE"/>
              </w:rPr>
              <w:t>9750 €</w:t>
            </w:r>
          </w:p>
        </w:tc>
      </w:tr>
    </w:tbl>
    <w:p w14:paraId="02E4DC3C" w14:textId="77777777" w:rsidR="004F5BC9" w:rsidRPr="001C37FD" w:rsidRDefault="004F5BC9" w:rsidP="00202B38">
      <w:pPr>
        <w:jc w:val="both"/>
        <w:rPr>
          <w:rFonts w:cstheme="minorHAnsi"/>
          <w:color w:val="000000"/>
          <w:sz w:val="24"/>
          <w:szCs w:val="24"/>
          <w:lang w:eastAsia="fr-BE"/>
        </w:rPr>
      </w:pPr>
    </w:p>
    <w:p w14:paraId="71EFBD36" w14:textId="796CE6FF" w:rsidR="00202B38" w:rsidRPr="001C37FD" w:rsidRDefault="004F5BC9" w:rsidP="00202B38">
      <w:pPr>
        <w:jc w:val="both"/>
        <w:rPr>
          <w:rFonts w:cstheme="minorHAnsi"/>
          <w:color w:val="000000"/>
          <w:sz w:val="24"/>
          <w:szCs w:val="24"/>
          <w:lang w:eastAsia="fr-BE"/>
        </w:rPr>
      </w:pPr>
      <w:r w:rsidRPr="001C37FD">
        <w:rPr>
          <w:rFonts w:cstheme="minorHAnsi"/>
          <w:color w:val="000000"/>
          <w:sz w:val="24"/>
          <w:szCs w:val="24"/>
          <w:lang w:eastAsia="fr-BE"/>
        </w:rPr>
        <w:t>Cette m</w:t>
      </w:r>
      <w:r w:rsidR="00202B38" w:rsidRPr="001C37FD">
        <w:rPr>
          <w:rFonts w:cstheme="minorHAnsi"/>
          <w:color w:val="000000"/>
          <w:sz w:val="24"/>
          <w:szCs w:val="24"/>
          <w:lang w:eastAsia="fr-BE"/>
        </w:rPr>
        <w:t xml:space="preserve">esure concerne </w:t>
      </w:r>
      <w:r w:rsidRPr="001C37FD">
        <w:rPr>
          <w:rFonts w:cstheme="minorHAnsi"/>
          <w:color w:val="000000"/>
          <w:sz w:val="24"/>
          <w:szCs w:val="24"/>
          <w:lang w:eastAsia="fr-BE"/>
        </w:rPr>
        <w:t xml:space="preserve">environ </w:t>
      </w:r>
      <w:r w:rsidR="00202B38" w:rsidRPr="001C37FD">
        <w:rPr>
          <w:rFonts w:cstheme="minorHAnsi"/>
          <w:color w:val="000000"/>
          <w:sz w:val="24"/>
          <w:szCs w:val="24"/>
          <w:lang w:eastAsia="fr-BE"/>
        </w:rPr>
        <w:t>2</w:t>
      </w:r>
      <w:r w:rsidR="00073060">
        <w:rPr>
          <w:rFonts w:cstheme="minorHAnsi"/>
          <w:color w:val="000000"/>
          <w:sz w:val="24"/>
          <w:szCs w:val="24"/>
          <w:lang w:eastAsia="fr-BE"/>
        </w:rPr>
        <w:t>8</w:t>
      </w:r>
      <w:r w:rsidR="00202B38" w:rsidRPr="001C37FD">
        <w:rPr>
          <w:rFonts w:cstheme="minorHAnsi"/>
          <w:color w:val="000000"/>
          <w:sz w:val="24"/>
          <w:szCs w:val="24"/>
          <w:lang w:eastAsia="fr-BE"/>
        </w:rPr>
        <w:t>.</w:t>
      </w:r>
      <w:r w:rsidR="00073060">
        <w:rPr>
          <w:rFonts w:cstheme="minorHAnsi"/>
          <w:color w:val="000000"/>
          <w:sz w:val="24"/>
          <w:szCs w:val="24"/>
          <w:lang w:eastAsia="fr-BE"/>
        </w:rPr>
        <w:t>000</w:t>
      </w:r>
      <w:r w:rsidR="00202B38" w:rsidRPr="001C37FD">
        <w:rPr>
          <w:rFonts w:cstheme="minorHAnsi"/>
          <w:color w:val="000000"/>
          <w:sz w:val="24"/>
          <w:szCs w:val="24"/>
          <w:lang w:eastAsia="fr-BE"/>
        </w:rPr>
        <w:t xml:space="preserve"> </w:t>
      </w:r>
      <w:r w:rsidRPr="001C37FD">
        <w:rPr>
          <w:rFonts w:cstheme="minorHAnsi"/>
          <w:color w:val="000000"/>
          <w:sz w:val="24"/>
          <w:szCs w:val="24"/>
          <w:lang w:eastAsia="fr-BE"/>
        </w:rPr>
        <w:t xml:space="preserve">bénéficiaires. </w:t>
      </w:r>
    </w:p>
    <w:p w14:paraId="4B320FDB" w14:textId="40AE123F" w:rsidR="00202B38" w:rsidRPr="00202B38" w:rsidRDefault="004F5BC9" w:rsidP="00202B38">
      <w:pPr>
        <w:jc w:val="both"/>
        <w:rPr>
          <w:rFonts w:cstheme="minorHAnsi"/>
          <w:b/>
          <w:bCs/>
          <w:color w:val="000000"/>
          <w:sz w:val="24"/>
          <w:szCs w:val="24"/>
          <w:lang w:eastAsia="fr-BE"/>
        </w:rPr>
      </w:pPr>
      <w:r w:rsidRPr="001C37FD">
        <w:rPr>
          <w:rFonts w:cstheme="minorHAnsi"/>
          <w:color w:val="000000"/>
          <w:sz w:val="24"/>
          <w:szCs w:val="24"/>
          <w:lang w:eastAsia="fr-BE"/>
        </w:rPr>
        <w:lastRenderedPageBreak/>
        <w:t>L</w:t>
      </w:r>
      <w:r w:rsidR="00202B38" w:rsidRPr="001C37FD">
        <w:rPr>
          <w:rFonts w:cstheme="minorHAnsi"/>
          <w:color w:val="000000"/>
          <w:sz w:val="24"/>
          <w:szCs w:val="24"/>
          <w:lang w:eastAsia="fr-BE"/>
        </w:rPr>
        <w:t>’impact budgétaire de cette indemnité est estimé</w:t>
      </w:r>
      <w:r w:rsidR="00202B38" w:rsidRPr="00202B38">
        <w:rPr>
          <w:rFonts w:cstheme="minorHAnsi"/>
          <w:color w:val="000000"/>
          <w:sz w:val="24"/>
          <w:szCs w:val="24"/>
          <w:lang w:eastAsia="fr-BE"/>
        </w:rPr>
        <w:t xml:space="preserve"> à </w:t>
      </w:r>
      <w:r w:rsidR="00202B38" w:rsidRPr="00202B38">
        <w:rPr>
          <w:rFonts w:cstheme="minorHAnsi"/>
          <w:b/>
          <w:bCs/>
          <w:color w:val="000000"/>
          <w:sz w:val="24"/>
          <w:szCs w:val="24"/>
          <w:lang w:eastAsia="fr-BE"/>
        </w:rPr>
        <w:t>1</w:t>
      </w:r>
      <w:r w:rsidR="001C37FD">
        <w:rPr>
          <w:rFonts w:cstheme="minorHAnsi"/>
          <w:b/>
          <w:bCs/>
          <w:color w:val="000000"/>
          <w:sz w:val="24"/>
          <w:szCs w:val="24"/>
          <w:lang w:eastAsia="fr-BE"/>
        </w:rPr>
        <w:t>44</w:t>
      </w:r>
      <w:r w:rsidR="00202B38" w:rsidRPr="00202B38">
        <w:rPr>
          <w:rFonts w:cstheme="minorHAnsi"/>
          <w:b/>
          <w:bCs/>
          <w:color w:val="000000"/>
          <w:sz w:val="24"/>
          <w:szCs w:val="24"/>
          <w:lang w:eastAsia="fr-BE"/>
        </w:rPr>
        <w:t xml:space="preserve"> millions </w:t>
      </w:r>
      <w:r>
        <w:rPr>
          <w:rFonts w:cstheme="minorHAnsi"/>
          <w:b/>
          <w:bCs/>
          <w:color w:val="000000"/>
          <w:sz w:val="24"/>
          <w:szCs w:val="24"/>
          <w:lang w:eastAsia="fr-BE"/>
        </w:rPr>
        <w:t>€</w:t>
      </w:r>
      <w:r w:rsidR="00202B38" w:rsidRPr="00202B38">
        <w:rPr>
          <w:rFonts w:cstheme="minorHAnsi"/>
          <w:b/>
          <w:bCs/>
          <w:color w:val="000000"/>
          <w:sz w:val="24"/>
          <w:szCs w:val="24"/>
          <w:lang w:eastAsia="fr-BE"/>
        </w:rPr>
        <w:t>.</w:t>
      </w:r>
      <w:r w:rsidR="00202B38" w:rsidRPr="00202B38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73975CF8" w14:textId="77777777" w:rsidR="004F5BC9" w:rsidRDefault="004F5BC9" w:rsidP="004F5BC9">
      <w:pPr>
        <w:pStyle w:val="Textesimple"/>
        <w:jc w:val="both"/>
        <w:rPr>
          <w:rFonts w:asciiTheme="minorHAnsi" w:hAnsiTheme="minorHAnsi" w:cstheme="minorHAnsi"/>
          <w:bCs/>
          <w:szCs w:val="24"/>
          <w:lang w:val="fr-BE"/>
        </w:rPr>
      </w:pPr>
    </w:p>
    <w:p w14:paraId="75BA7B17" w14:textId="1C82867F" w:rsidR="00202B38" w:rsidRPr="004F5BC9" w:rsidRDefault="005F1E19" w:rsidP="004F5BC9">
      <w:pPr>
        <w:pStyle w:val="Textesimple"/>
        <w:jc w:val="both"/>
        <w:rPr>
          <w:rFonts w:asciiTheme="minorHAnsi" w:hAnsiTheme="minorHAnsi" w:cstheme="minorHAnsi"/>
          <w:b/>
          <w:szCs w:val="24"/>
          <w:u w:val="single"/>
          <w:lang w:val="fr-BE"/>
        </w:rPr>
      </w:pPr>
      <w:r>
        <w:rPr>
          <w:rFonts w:asciiTheme="minorHAnsi" w:hAnsiTheme="minorHAnsi" w:cstheme="minorHAnsi"/>
          <w:b/>
          <w:szCs w:val="24"/>
          <w:u w:val="single"/>
          <w:lang w:val="fr-BE"/>
        </w:rPr>
        <w:t xml:space="preserve">2) </w:t>
      </w:r>
      <w:r w:rsidR="00202B38" w:rsidRPr="004F5BC9">
        <w:rPr>
          <w:rFonts w:asciiTheme="minorHAnsi" w:hAnsiTheme="minorHAnsi" w:cstheme="minorHAnsi"/>
          <w:b/>
          <w:szCs w:val="24"/>
          <w:u w:val="single"/>
          <w:lang w:val="fr-BE"/>
        </w:rPr>
        <w:t xml:space="preserve">Indemnité à destination du secteur </w:t>
      </w:r>
      <w:r w:rsidR="001C37FD">
        <w:rPr>
          <w:rFonts w:asciiTheme="minorHAnsi" w:hAnsiTheme="minorHAnsi" w:cstheme="minorHAnsi"/>
          <w:b/>
          <w:szCs w:val="24"/>
          <w:u w:val="single"/>
          <w:lang w:val="fr-BE"/>
        </w:rPr>
        <w:t xml:space="preserve">hôtelier </w:t>
      </w:r>
    </w:p>
    <w:p w14:paraId="0E111725" w14:textId="77777777" w:rsidR="00202B38" w:rsidRPr="00202B38" w:rsidRDefault="00202B38" w:rsidP="00202B38">
      <w:pPr>
        <w:pStyle w:val="Textesimple"/>
        <w:jc w:val="both"/>
        <w:rPr>
          <w:rFonts w:asciiTheme="minorHAnsi" w:hAnsiTheme="minorHAnsi" w:cstheme="minorHAnsi"/>
          <w:bCs/>
          <w:szCs w:val="24"/>
          <w:lang w:val="fr-BE"/>
        </w:rPr>
      </w:pPr>
    </w:p>
    <w:p w14:paraId="40B1AE99" w14:textId="19AE1F1F" w:rsidR="00202B38" w:rsidRPr="00202B38" w:rsidRDefault="00202B38" w:rsidP="00202B38">
      <w:pPr>
        <w:pStyle w:val="Textesimple"/>
        <w:jc w:val="both"/>
        <w:rPr>
          <w:rFonts w:asciiTheme="minorHAnsi" w:hAnsiTheme="minorHAnsi" w:cstheme="minorHAnsi"/>
          <w:bCs/>
          <w:szCs w:val="24"/>
          <w:lang w:val="fr-BE"/>
        </w:rPr>
      </w:pPr>
      <w:r w:rsidRPr="00202B38">
        <w:rPr>
          <w:rFonts w:asciiTheme="minorHAnsi" w:hAnsiTheme="minorHAnsi" w:cstheme="minorHAnsi"/>
          <w:bCs/>
          <w:szCs w:val="24"/>
          <w:lang w:val="fr-BE"/>
        </w:rPr>
        <w:t xml:space="preserve">Les mesures sanitaires nécessaires prises dans le cadre de la crise Covid-19 en Belgique mais aussi dans le monde ont engendré un impact important sur </w:t>
      </w:r>
      <w:r w:rsidR="001C0B05">
        <w:rPr>
          <w:rFonts w:asciiTheme="minorHAnsi" w:hAnsiTheme="minorHAnsi" w:cstheme="minorHAnsi"/>
          <w:bCs/>
          <w:szCs w:val="24"/>
          <w:lang w:val="fr-BE"/>
        </w:rPr>
        <w:t>l’économie</w:t>
      </w:r>
      <w:r w:rsidRPr="00202B38">
        <w:rPr>
          <w:rFonts w:asciiTheme="minorHAnsi" w:hAnsiTheme="minorHAnsi" w:cstheme="minorHAnsi"/>
          <w:bCs/>
          <w:szCs w:val="24"/>
          <w:lang w:val="fr-BE"/>
        </w:rPr>
        <w:t xml:space="preserve"> touristique, parmi laquelle </w:t>
      </w:r>
      <w:r w:rsidR="004761D4">
        <w:rPr>
          <w:rFonts w:asciiTheme="minorHAnsi" w:hAnsiTheme="minorHAnsi" w:cstheme="minorHAnsi"/>
          <w:bCs/>
          <w:szCs w:val="24"/>
          <w:lang w:val="fr-BE"/>
        </w:rPr>
        <w:t>se trouvent</w:t>
      </w:r>
      <w:r w:rsidRPr="00202B38">
        <w:rPr>
          <w:rFonts w:asciiTheme="minorHAnsi" w:hAnsiTheme="minorHAnsi" w:cstheme="minorHAnsi"/>
          <w:bCs/>
          <w:szCs w:val="24"/>
          <w:lang w:val="fr-BE"/>
        </w:rPr>
        <w:t xml:space="preserve"> les hôtels.</w:t>
      </w:r>
    </w:p>
    <w:p w14:paraId="7B83FA58" w14:textId="77777777" w:rsidR="00202B38" w:rsidRPr="00202B38" w:rsidRDefault="00202B38" w:rsidP="00202B38">
      <w:pPr>
        <w:pStyle w:val="Textesimple"/>
        <w:jc w:val="both"/>
        <w:rPr>
          <w:rFonts w:asciiTheme="minorHAnsi" w:hAnsiTheme="minorHAnsi" w:cstheme="minorHAnsi"/>
          <w:bCs/>
          <w:szCs w:val="24"/>
          <w:lang w:val="fr-BE"/>
        </w:rPr>
      </w:pPr>
    </w:p>
    <w:p w14:paraId="11280F36" w14:textId="77777777" w:rsidR="00202B38" w:rsidRPr="00202B38" w:rsidRDefault="00202B38" w:rsidP="00202B38">
      <w:pPr>
        <w:pStyle w:val="Textesimple"/>
        <w:jc w:val="both"/>
        <w:rPr>
          <w:rFonts w:asciiTheme="minorHAnsi" w:hAnsiTheme="minorHAnsi" w:cstheme="minorHAnsi"/>
          <w:bCs/>
          <w:szCs w:val="24"/>
          <w:lang w:val="fr-BE"/>
        </w:rPr>
      </w:pPr>
      <w:r w:rsidRPr="00202B38">
        <w:rPr>
          <w:rFonts w:asciiTheme="minorHAnsi" w:hAnsiTheme="minorHAnsi" w:cstheme="minorHAnsi"/>
          <w:bCs/>
          <w:szCs w:val="24"/>
          <w:lang w:val="fr-BE"/>
        </w:rPr>
        <w:t>Bien que ne figurant pas dans la liste des secteurs touchés par une obligation de fermeture (ceux-ci étant considérés comme un service de première nécessité), les hôtels sont particulièrement touchés par l’ensemble des mesures liées au covid-19, compte tenu de la diminution de la fréquentation touristique, de la suppression de la majorité des évènements professionnels mais également de la fermeture des restaurants.</w:t>
      </w:r>
    </w:p>
    <w:p w14:paraId="48DC4D3A" w14:textId="77777777" w:rsidR="00202B38" w:rsidRPr="00202B38" w:rsidRDefault="00202B38" w:rsidP="00202B38">
      <w:pPr>
        <w:pStyle w:val="Textesimple"/>
        <w:jc w:val="both"/>
        <w:rPr>
          <w:rFonts w:asciiTheme="minorHAnsi" w:hAnsiTheme="minorHAnsi" w:cstheme="minorHAnsi"/>
          <w:bCs/>
          <w:szCs w:val="24"/>
          <w:lang w:val="fr-BE"/>
        </w:rPr>
      </w:pPr>
    </w:p>
    <w:p w14:paraId="7021D73F" w14:textId="28E6210F" w:rsidR="00202B38" w:rsidRPr="00202B38" w:rsidRDefault="004F5BC9" w:rsidP="00202B38">
      <w:pPr>
        <w:pStyle w:val="Textesimple"/>
        <w:jc w:val="both"/>
        <w:rPr>
          <w:rFonts w:asciiTheme="minorHAnsi" w:hAnsiTheme="minorHAnsi" w:cstheme="minorHAnsi"/>
          <w:bCs/>
          <w:szCs w:val="24"/>
          <w:lang w:val="fr-BE"/>
        </w:rPr>
      </w:pPr>
      <w:r>
        <w:rPr>
          <w:rFonts w:asciiTheme="minorHAnsi" w:hAnsiTheme="minorHAnsi" w:cstheme="minorHAnsi"/>
          <w:bCs/>
          <w:szCs w:val="24"/>
          <w:lang w:val="fr-BE"/>
        </w:rPr>
        <w:t>En effet, e</w:t>
      </w:r>
      <w:r w:rsidR="00202B38" w:rsidRPr="00202B38">
        <w:rPr>
          <w:rFonts w:asciiTheme="minorHAnsi" w:hAnsiTheme="minorHAnsi" w:cstheme="minorHAnsi"/>
          <w:bCs/>
          <w:szCs w:val="24"/>
          <w:lang w:val="fr-BE"/>
        </w:rPr>
        <w:t xml:space="preserve">nviron 65% des </w:t>
      </w:r>
      <w:r w:rsidR="004C5D3B">
        <w:rPr>
          <w:rFonts w:asciiTheme="minorHAnsi" w:hAnsiTheme="minorHAnsi" w:cstheme="minorHAnsi"/>
          <w:bCs/>
          <w:szCs w:val="24"/>
          <w:lang w:val="fr-BE"/>
        </w:rPr>
        <w:t>hébergements</w:t>
      </w:r>
      <w:r w:rsidR="00202B38" w:rsidRPr="00202B38">
        <w:rPr>
          <w:rFonts w:asciiTheme="minorHAnsi" w:hAnsiTheme="minorHAnsi" w:cstheme="minorHAnsi"/>
          <w:bCs/>
          <w:szCs w:val="24"/>
          <w:lang w:val="fr-BE"/>
        </w:rPr>
        <w:t xml:space="preserve"> – tous types confondus </w:t>
      </w:r>
      <w:r>
        <w:rPr>
          <w:rFonts w:asciiTheme="minorHAnsi" w:hAnsiTheme="minorHAnsi" w:cstheme="minorHAnsi"/>
          <w:bCs/>
          <w:szCs w:val="24"/>
          <w:lang w:val="fr-BE"/>
        </w:rPr>
        <w:t xml:space="preserve">– </w:t>
      </w:r>
      <w:r w:rsidR="00202B38" w:rsidRPr="00202B38">
        <w:rPr>
          <w:rFonts w:asciiTheme="minorHAnsi" w:hAnsiTheme="minorHAnsi" w:cstheme="minorHAnsi"/>
          <w:bCs/>
          <w:szCs w:val="24"/>
          <w:lang w:val="fr-BE"/>
        </w:rPr>
        <w:t xml:space="preserve">n’avaient aucune réservation pour le </w:t>
      </w:r>
      <w:r w:rsidR="00511DB6">
        <w:rPr>
          <w:rFonts w:asciiTheme="minorHAnsi" w:hAnsiTheme="minorHAnsi" w:cstheme="minorHAnsi"/>
          <w:bCs/>
          <w:szCs w:val="24"/>
          <w:lang w:val="fr-BE"/>
        </w:rPr>
        <w:t>1</w:t>
      </w:r>
      <w:r w:rsidR="00511DB6" w:rsidRPr="00511DB6">
        <w:rPr>
          <w:rFonts w:asciiTheme="minorHAnsi" w:hAnsiTheme="minorHAnsi" w:cstheme="minorHAnsi"/>
          <w:bCs/>
          <w:szCs w:val="24"/>
          <w:vertAlign w:val="superscript"/>
          <w:lang w:val="fr-BE"/>
        </w:rPr>
        <w:t>er</w:t>
      </w:r>
      <w:r w:rsidR="00511DB6">
        <w:rPr>
          <w:rFonts w:asciiTheme="minorHAnsi" w:hAnsiTheme="minorHAnsi" w:cstheme="minorHAnsi"/>
          <w:bCs/>
          <w:szCs w:val="24"/>
          <w:lang w:val="fr-BE"/>
        </w:rPr>
        <w:t xml:space="preserve"> </w:t>
      </w:r>
      <w:r w:rsidR="00202B38" w:rsidRPr="00202B38">
        <w:rPr>
          <w:rFonts w:asciiTheme="minorHAnsi" w:hAnsiTheme="minorHAnsi" w:cstheme="minorHAnsi"/>
          <w:bCs/>
          <w:szCs w:val="24"/>
          <w:lang w:val="fr-BE"/>
        </w:rPr>
        <w:t>trimestre 2021 en date du 4/1/2021.</w:t>
      </w:r>
      <w:r w:rsidR="00511DB6">
        <w:rPr>
          <w:rFonts w:asciiTheme="minorHAnsi" w:hAnsiTheme="minorHAnsi" w:cstheme="minorHAnsi"/>
          <w:bCs/>
          <w:szCs w:val="24"/>
          <w:lang w:val="fr-BE"/>
        </w:rPr>
        <w:t xml:space="preserve"> </w:t>
      </w:r>
      <w:r w:rsidR="00202B38" w:rsidRPr="00202B38">
        <w:rPr>
          <w:rFonts w:asciiTheme="minorHAnsi" w:hAnsiTheme="minorHAnsi" w:cstheme="minorHAnsi"/>
          <w:bCs/>
          <w:szCs w:val="24"/>
          <w:lang w:val="fr-BE"/>
        </w:rPr>
        <w:t>En termes de taux d’occupation moyen sur l’année 2020 en comparaison à l’année 2019, on constate une baisse de près de 50</w:t>
      </w:r>
      <w:r w:rsidR="00511DB6">
        <w:rPr>
          <w:rFonts w:asciiTheme="minorHAnsi" w:hAnsiTheme="minorHAnsi" w:cstheme="minorHAnsi"/>
          <w:bCs/>
          <w:szCs w:val="24"/>
          <w:lang w:val="fr-BE"/>
        </w:rPr>
        <w:t xml:space="preserve"> %. </w:t>
      </w:r>
    </w:p>
    <w:p w14:paraId="2D613439" w14:textId="77777777" w:rsidR="00202B38" w:rsidRPr="00202B38" w:rsidRDefault="00202B38" w:rsidP="00202B38">
      <w:pPr>
        <w:pStyle w:val="Textesimple"/>
        <w:jc w:val="both"/>
        <w:rPr>
          <w:rFonts w:asciiTheme="minorHAnsi" w:hAnsiTheme="minorHAnsi" w:cstheme="minorHAnsi"/>
          <w:bCs/>
          <w:szCs w:val="24"/>
          <w:lang w:val="fr-BE"/>
        </w:rPr>
      </w:pPr>
    </w:p>
    <w:p w14:paraId="051D32D2" w14:textId="767EBCFE" w:rsidR="00202B38" w:rsidRPr="00202B38" w:rsidRDefault="00202B38" w:rsidP="00202B38">
      <w:pPr>
        <w:spacing w:line="264" w:lineRule="auto"/>
        <w:jc w:val="both"/>
        <w:rPr>
          <w:rFonts w:cstheme="minorHAnsi"/>
          <w:bCs/>
          <w:sz w:val="24"/>
          <w:szCs w:val="24"/>
        </w:rPr>
      </w:pPr>
      <w:r w:rsidRPr="00202B38">
        <w:rPr>
          <w:rFonts w:cstheme="minorHAnsi"/>
          <w:sz w:val="24"/>
          <w:szCs w:val="24"/>
        </w:rPr>
        <w:t xml:space="preserve">Afin d’amoindrir l’impact économique direct de </w:t>
      </w:r>
      <w:r w:rsidR="00511DB6">
        <w:rPr>
          <w:rFonts w:cstheme="minorHAnsi"/>
          <w:sz w:val="24"/>
          <w:szCs w:val="24"/>
        </w:rPr>
        <w:t>la crise</w:t>
      </w:r>
      <w:r w:rsidRPr="00202B38">
        <w:rPr>
          <w:rFonts w:cstheme="minorHAnsi"/>
          <w:sz w:val="24"/>
          <w:szCs w:val="24"/>
        </w:rPr>
        <w:t xml:space="preserve"> pour </w:t>
      </w:r>
      <w:r w:rsidR="00511DB6">
        <w:rPr>
          <w:rFonts w:cstheme="minorHAnsi"/>
          <w:sz w:val="24"/>
          <w:szCs w:val="24"/>
        </w:rPr>
        <w:t xml:space="preserve">ce secteur, le </w:t>
      </w:r>
      <w:r w:rsidRPr="00202B38">
        <w:rPr>
          <w:rFonts w:cstheme="minorHAnsi"/>
          <w:sz w:val="24"/>
          <w:szCs w:val="24"/>
        </w:rPr>
        <w:t xml:space="preserve">Gouvernement </w:t>
      </w:r>
      <w:r w:rsidR="00511DB6">
        <w:rPr>
          <w:rFonts w:cstheme="minorHAnsi"/>
          <w:sz w:val="24"/>
          <w:szCs w:val="24"/>
        </w:rPr>
        <w:t xml:space="preserve">de Wallonie a décidé </w:t>
      </w:r>
      <w:r w:rsidRPr="00202B38">
        <w:rPr>
          <w:rFonts w:cstheme="minorHAnsi"/>
          <w:sz w:val="24"/>
          <w:szCs w:val="24"/>
        </w:rPr>
        <w:t xml:space="preserve">d’octroyer une intervention spécifique aux indépendants et entreprises qui sont actives à titre principal </w:t>
      </w:r>
      <w:r w:rsidR="00511DB6">
        <w:rPr>
          <w:rFonts w:cstheme="minorHAnsi"/>
          <w:sz w:val="24"/>
          <w:szCs w:val="24"/>
        </w:rPr>
        <w:t xml:space="preserve">dans </w:t>
      </w:r>
      <w:r w:rsidR="00EA10EC">
        <w:rPr>
          <w:rFonts w:cstheme="minorHAnsi"/>
          <w:sz w:val="24"/>
          <w:szCs w:val="24"/>
        </w:rPr>
        <w:t xml:space="preserve">le secteur hôtelier </w:t>
      </w:r>
      <w:r w:rsidR="00511DB6">
        <w:rPr>
          <w:rFonts w:cstheme="minorHAnsi"/>
          <w:sz w:val="24"/>
          <w:szCs w:val="24"/>
        </w:rPr>
        <w:t>(c</w:t>
      </w:r>
      <w:r w:rsidRPr="00202B38">
        <w:rPr>
          <w:rFonts w:cstheme="minorHAnsi"/>
          <w:bCs/>
          <w:sz w:val="24"/>
          <w:szCs w:val="24"/>
        </w:rPr>
        <w:t>ode NACE 55.100</w:t>
      </w:r>
      <w:r w:rsidR="00511DB6">
        <w:rPr>
          <w:rFonts w:cstheme="minorHAnsi"/>
          <w:bCs/>
          <w:sz w:val="24"/>
          <w:szCs w:val="24"/>
        </w:rPr>
        <w:t>)</w:t>
      </w:r>
      <w:r w:rsidRPr="00202B38">
        <w:rPr>
          <w:rFonts w:cstheme="minorHAnsi"/>
          <w:bCs/>
          <w:sz w:val="24"/>
          <w:szCs w:val="24"/>
        </w:rPr>
        <w:t xml:space="preserve">. </w:t>
      </w:r>
      <w:r w:rsidRPr="00511DB6">
        <w:rPr>
          <w:rFonts w:cstheme="minorHAnsi"/>
          <w:b/>
          <w:sz w:val="24"/>
          <w:szCs w:val="24"/>
        </w:rPr>
        <w:t xml:space="preserve">Cette indemnité prendra la forme d’un forfait de 1.000 </w:t>
      </w:r>
      <w:r w:rsidR="00511DB6" w:rsidRPr="00511DB6">
        <w:rPr>
          <w:rFonts w:cstheme="minorHAnsi"/>
          <w:b/>
          <w:sz w:val="24"/>
          <w:szCs w:val="24"/>
        </w:rPr>
        <w:t>€</w:t>
      </w:r>
      <w:r w:rsidRPr="00511DB6">
        <w:rPr>
          <w:rFonts w:cstheme="minorHAnsi"/>
          <w:b/>
          <w:sz w:val="24"/>
          <w:szCs w:val="24"/>
        </w:rPr>
        <w:t xml:space="preserve"> par chambre.</w:t>
      </w:r>
    </w:p>
    <w:p w14:paraId="6F5E2B88" w14:textId="353889A1" w:rsidR="00202B38" w:rsidRPr="00202B38" w:rsidRDefault="00511DB6" w:rsidP="00202B38">
      <w:pPr>
        <w:spacing w:line="264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Wallonie, on </w:t>
      </w:r>
      <w:r w:rsidR="004761D4">
        <w:rPr>
          <w:rFonts w:cstheme="minorHAnsi"/>
          <w:sz w:val="24"/>
          <w:szCs w:val="24"/>
        </w:rPr>
        <w:t>dénombre</w:t>
      </w:r>
      <w:r w:rsidR="00202B38" w:rsidRPr="00202B38">
        <w:rPr>
          <w:rFonts w:cstheme="minorHAnsi"/>
          <w:sz w:val="24"/>
          <w:szCs w:val="24"/>
        </w:rPr>
        <w:t xml:space="preserve"> </w:t>
      </w:r>
      <w:r w:rsidR="001C37FD">
        <w:rPr>
          <w:rFonts w:cstheme="minorHAnsi"/>
          <w:sz w:val="24"/>
          <w:szCs w:val="24"/>
        </w:rPr>
        <w:t>environ 450</w:t>
      </w:r>
      <w:r w:rsidR="00202B38" w:rsidRPr="00202B38">
        <w:rPr>
          <w:rFonts w:cstheme="minorHAnsi"/>
          <w:sz w:val="24"/>
          <w:szCs w:val="24"/>
        </w:rPr>
        <w:t xml:space="preserve"> hôtels pour une estimation d</w:t>
      </w:r>
      <w:r w:rsidR="0095211C">
        <w:rPr>
          <w:rFonts w:cstheme="minorHAnsi"/>
          <w:sz w:val="24"/>
          <w:szCs w:val="24"/>
        </w:rPr>
        <w:t>’un peu moins de</w:t>
      </w:r>
      <w:r w:rsidR="00202B38" w:rsidRPr="00202B38">
        <w:rPr>
          <w:rFonts w:cstheme="minorHAnsi"/>
          <w:sz w:val="24"/>
          <w:szCs w:val="24"/>
        </w:rPr>
        <w:t xml:space="preserve"> 1</w:t>
      </w:r>
      <w:r w:rsidR="001C37FD">
        <w:rPr>
          <w:rFonts w:cstheme="minorHAnsi"/>
          <w:sz w:val="24"/>
          <w:szCs w:val="24"/>
        </w:rPr>
        <w:t>5.000</w:t>
      </w:r>
      <w:r w:rsidR="00202B38" w:rsidRPr="00202B38">
        <w:rPr>
          <w:rFonts w:cstheme="minorHAnsi"/>
          <w:sz w:val="24"/>
          <w:szCs w:val="24"/>
        </w:rPr>
        <w:t xml:space="preserve"> chambres.</w:t>
      </w:r>
    </w:p>
    <w:p w14:paraId="0AB8E3FD" w14:textId="614A80A3" w:rsidR="00202B38" w:rsidRPr="00202B38" w:rsidRDefault="00511DB6" w:rsidP="00202B38">
      <w:pPr>
        <w:pStyle w:val="Textesimple"/>
        <w:jc w:val="both"/>
        <w:rPr>
          <w:rFonts w:asciiTheme="minorHAnsi" w:hAnsiTheme="minorHAnsi" w:cstheme="minorHAnsi"/>
          <w:b/>
          <w:bCs/>
          <w:szCs w:val="24"/>
          <w:lang w:val="fr-BE"/>
        </w:rPr>
      </w:pPr>
      <w:r>
        <w:rPr>
          <w:rFonts w:asciiTheme="minorHAnsi" w:hAnsiTheme="minorHAnsi" w:cstheme="minorHAnsi"/>
          <w:bCs/>
          <w:szCs w:val="24"/>
          <w:lang w:val="fr-BE"/>
        </w:rPr>
        <w:t>L’</w:t>
      </w:r>
      <w:r w:rsidR="00202B38" w:rsidRPr="00202B38">
        <w:rPr>
          <w:rFonts w:asciiTheme="minorHAnsi" w:hAnsiTheme="minorHAnsi" w:cstheme="minorHAnsi"/>
          <w:color w:val="000000"/>
          <w:szCs w:val="24"/>
          <w:lang w:val="fr-BE" w:eastAsia="fr-BE"/>
        </w:rPr>
        <w:t xml:space="preserve">impact budgétaire de cette </w:t>
      </w:r>
      <w:r w:rsidR="00202B38" w:rsidRPr="00202B38">
        <w:rPr>
          <w:rFonts w:asciiTheme="minorHAnsi" w:hAnsiTheme="minorHAnsi" w:cstheme="minorHAnsi"/>
          <w:szCs w:val="24"/>
          <w:lang w:val="fr-BE"/>
        </w:rPr>
        <w:t xml:space="preserve">mesure est </w:t>
      </w:r>
      <w:r>
        <w:rPr>
          <w:rFonts w:asciiTheme="minorHAnsi" w:hAnsiTheme="minorHAnsi" w:cstheme="minorHAnsi"/>
          <w:szCs w:val="24"/>
          <w:lang w:val="fr-BE"/>
        </w:rPr>
        <w:t xml:space="preserve">donc </w:t>
      </w:r>
      <w:r w:rsidR="00202B38" w:rsidRPr="00202B38">
        <w:rPr>
          <w:rFonts w:asciiTheme="minorHAnsi" w:hAnsiTheme="minorHAnsi" w:cstheme="minorHAnsi"/>
          <w:szCs w:val="24"/>
          <w:lang w:val="fr-BE"/>
        </w:rPr>
        <w:t xml:space="preserve">estimé à </w:t>
      </w:r>
      <w:r w:rsidR="00202B38" w:rsidRPr="00202B38">
        <w:rPr>
          <w:rFonts w:asciiTheme="minorHAnsi" w:hAnsiTheme="minorHAnsi" w:cstheme="minorHAnsi"/>
          <w:b/>
          <w:bCs/>
          <w:szCs w:val="24"/>
          <w:lang w:val="fr-BE"/>
        </w:rPr>
        <w:t>14</w:t>
      </w:r>
      <w:r>
        <w:rPr>
          <w:rFonts w:asciiTheme="minorHAnsi" w:hAnsiTheme="minorHAnsi" w:cstheme="minorHAnsi"/>
          <w:b/>
          <w:bCs/>
          <w:szCs w:val="24"/>
          <w:lang w:val="fr-BE"/>
        </w:rPr>
        <w:t>,6</w:t>
      </w:r>
      <w:r w:rsidR="00202B38" w:rsidRPr="00202B38">
        <w:rPr>
          <w:rFonts w:asciiTheme="minorHAnsi" w:hAnsiTheme="minorHAnsi" w:cstheme="minorHAnsi"/>
          <w:b/>
          <w:bCs/>
          <w:szCs w:val="24"/>
          <w:lang w:val="fr-BE"/>
        </w:rPr>
        <w:t xml:space="preserve"> millions </w:t>
      </w:r>
      <w:r>
        <w:rPr>
          <w:rFonts w:asciiTheme="minorHAnsi" w:hAnsiTheme="minorHAnsi" w:cstheme="minorHAnsi"/>
          <w:b/>
          <w:bCs/>
          <w:szCs w:val="24"/>
          <w:lang w:val="fr-BE"/>
        </w:rPr>
        <w:t>€</w:t>
      </w:r>
      <w:r w:rsidR="00202B38" w:rsidRPr="00202B38">
        <w:rPr>
          <w:rFonts w:asciiTheme="minorHAnsi" w:hAnsiTheme="minorHAnsi" w:cstheme="minorHAnsi"/>
          <w:b/>
          <w:bCs/>
          <w:szCs w:val="24"/>
          <w:lang w:val="fr-BE"/>
        </w:rPr>
        <w:t>.</w:t>
      </w:r>
    </w:p>
    <w:p w14:paraId="673EDB14" w14:textId="4FF47C7E" w:rsidR="00202B38" w:rsidRPr="00511DB6" w:rsidRDefault="00511DB6" w:rsidP="00511DB6">
      <w:pPr>
        <w:spacing w:line="264" w:lineRule="auto"/>
        <w:jc w:val="both"/>
        <w:rPr>
          <w:rFonts w:cstheme="minorHAnsi"/>
          <w:bCs/>
          <w:snapToGrid w:val="0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EA10EC">
        <w:rPr>
          <w:rFonts w:cstheme="minorHAnsi"/>
          <w:bCs/>
          <w:snapToGrid w:val="0"/>
          <w:sz w:val="24"/>
          <w:szCs w:val="24"/>
        </w:rPr>
        <w:t>Notons que, e</w:t>
      </w:r>
      <w:r w:rsidR="00202B38" w:rsidRPr="00202B38">
        <w:rPr>
          <w:rFonts w:cstheme="minorHAnsi"/>
          <w:bCs/>
          <w:snapToGrid w:val="0"/>
          <w:sz w:val="24"/>
          <w:szCs w:val="24"/>
        </w:rPr>
        <w:t xml:space="preserve">n ce qui concerne l’opérationnalisation de </w:t>
      </w:r>
      <w:r w:rsidR="00EA10EC">
        <w:rPr>
          <w:rFonts w:cstheme="minorHAnsi"/>
          <w:bCs/>
          <w:snapToGrid w:val="0"/>
          <w:sz w:val="24"/>
          <w:szCs w:val="24"/>
        </w:rPr>
        <w:t>cette</w:t>
      </w:r>
      <w:r w:rsidR="00202B38" w:rsidRPr="00202B38">
        <w:rPr>
          <w:rFonts w:cstheme="minorHAnsi"/>
          <w:bCs/>
          <w:snapToGrid w:val="0"/>
          <w:sz w:val="24"/>
          <w:szCs w:val="24"/>
        </w:rPr>
        <w:t xml:space="preserve"> mesure, le Commissariat général au Tourisme appuiera le SPW dans le traitement de l’éligibilité des demandes. </w:t>
      </w:r>
    </w:p>
    <w:p w14:paraId="7167834D" w14:textId="77777777" w:rsidR="00202B38" w:rsidRPr="00202B38" w:rsidRDefault="00202B38" w:rsidP="00202B38">
      <w:pPr>
        <w:pStyle w:val="Textesimple"/>
        <w:jc w:val="both"/>
        <w:rPr>
          <w:rFonts w:asciiTheme="minorHAnsi" w:hAnsiTheme="minorHAnsi" w:cstheme="minorHAnsi"/>
          <w:b/>
          <w:szCs w:val="24"/>
          <w:lang w:val="fr-BE"/>
        </w:rPr>
      </w:pPr>
    </w:p>
    <w:p w14:paraId="2B251689" w14:textId="301EC2DB" w:rsidR="00202B38" w:rsidRPr="00511DB6" w:rsidRDefault="005F1E19" w:rsidP="00511DB6">
      <w:pPr>
        <w:pStyle w:val="Textesimple"/>
        <w:jc w:val="both"/>
        <w:rPr>
          <w:rFonts w:asciiTheme="minorHAnsi" w:hAnsiTheme="minorHAnsi" w:cstheme="minorHAnsi"/>
          <w:b/>
          <w:szCs w:val="24"/>
          <w:u w:val="single"/>
          <w:lang w:val="fr-BE"/>
        </w:rPr>
      </w:pPr>
      <w:r>
        <w:rPr>
          <w:rFonts w:asciiTheme="minorHAnsi" w:hAnsiTheme="minorHAnsi" w:cstheme="minorHAnsi"/>
          <w:b/>
          <w:szCs w:val="24"/>
          <w:u w:val="single"/>
          <w:lang w:val="fr-BE"/>
        </w:rPr>
        <w:t xml:space="preserve">3) </w:t>
      </w:r>
      <w:r w:rsidR="00202B38" w:rsidRPr="00511DB6">
        <w:rPr>
          <w:rFonts w:asciiTheme="minorHAnsi" w:hAnsiTheme="minorHAnsi" w:cstheme="minorHAnsi"/>
          <w:b/>
          <w:szCs w:val="24"/>
          <w:u w:val="single"/>
          <w:lang w:val="fr-BE"/>
        </w:rPr>
        <w:t xml:space="preserve">Indemnité </w:t>
      </w:r>
      <w:bookmarkStart w:id="1" w:name="_Hlk62753112"/>
      <w:r w:rsidR="00202B38" w:rsidRPr="00511DB6">
        <w:rPr>
          <w:rFonts w:asciiTheme="minorHAnsi" w:hAnsiTheme="minorHAnsi" w:cstheme="minorHAnsi"/>
          <w:b/>
          <w:szCs w:val="24"/>
          <w:u w:val="single"/>
          <w:lang w:val="fr-BE"/>
        </w:rPr>
        <w:t>à destination des indépendants</w:t>
      </w:r>
      <w:r w:rsidR="00511DB6">
        <w:rPr>
          <w:rFonts w:asciiTheme="minorHAnsi" w:hAnsiTheme="minorHAnsi" w:cstheme="minorHAnsi"/>
          <w:b/>
          <w:szCs w:val="24"/>
          <w:u w:val="single"/>
          <w:lang w:val="fr-BE"/>
        </w:rPr>
        <w:t>/</w:t>
      </w:r>
      <w:r w:rsidR="00202B38" w:rsidRPr="00511DB6">
        <w:rPr>
          <w:rFonts w:asciiTheme="minorHAnsi" w:hAnsiTheme="minorHAnsi" w:cstheme="minorHAnsi"/>
          <w:b/>
          <w:szCs w:val="24"/>
          <w:u w:val="single"/>
          <w:lang w:val="fr-BE"/>
        </w:rPr>
        <w:t>entreprises actifs en B</w:t>
      </w:r>
      <w:r w:rsidR="0095211C">
        <w:rPr>
          <w:rFonts w:asciiTheme="minorHAnsi" w:hAnsiTheme="minorHAnsi" w:cstheme="minorHAnsi"/>
          <w:b/>
          <w:szCs w:val="24"/>
          <w:u w:val="single"/>
          <w:lang w:val="fr-BE"/>
        </w:rPr>
        <w:t xml:space="preserve"> </w:t>
      </w:r>
      <w:r w:rsidR="00202B38" w:rsidRPr="00511DB6">
        <w:rPr>
          <w:rFonts w:asciiTheme="minorHAnsi" w:hAnsiTheme="minorHAnsi" w:cstheme="minorHAnsi"/>
          <w:b/>
          <w:szCs w:val="24"/>
          <w:u w:val="single"/>
          <w:lang w:val="fr-BE"/>
        </w:rPr>
        <w:t>to</w:t>
      </w:r>
      <w:r w:rsidR="0095211C">
        <w:rPr>
          <w:rFonts w:asciiTheme="minorHAnsi" w:hAnsiTheme="minorHAnsi" w:cstheme="minorHAnsi"/>
          <w:b/>
          <w:szCs w:val="24"/>
          <w:u w:val="single"/>
          <w:lang w:val="fr-BE"/>
        </w:rPr>
        <w:t xml:space="preserve"> </w:t>
      </w:r>
      <w:r w:rsidR="00202B38" w:rsidRPr="00511DB6">
        <w:rPr>
          <w:rFonts w:asciiTheme="minorHAnsi" w:hAnsiTheme="minorHAnsi" w:cstheme="minorHAnsi"/>
          <w:b/>
          <w:szCs w:val="24"/>
          <w:u w:val="single"/>
          <w:lang w:val="fr-BE"/>
        </w:rPr>
        <w:t xml:space="preserve">B et touchés indirectement par les décisions de fermeture </w:t>
      </w:r>
    </w:p>
    <w:bookmarkEnd w:id="1"/>
    <w:p w14:paraId="48DE5F75" w14:textId="77777777" w:rsidR="00202B38" w:rsidRPr="00202B38" w:rsidRDefault="00202B38" w:rsidP="00202B38">
      <w:pPr>
        <w:jc w:val="both"/>
        <w:rPr>
          <w:rFonts w:cstheme="minorHAnsi"/>
          <w:color w:val="0070C0"/>
          <w:sz w:val="24"/>
          <w:szCs w:val="24"/>
          <w:lang w:eastAsia="fr-BE"/>
        </w:rPr>
      </w:pPr>
    </w:p>
    <w:p w14:paraId="3DDAF694" w14:textId="6EB2F1C0" w:rsidR="00202B38" w:rsidRPr="00202B38" w:rsidRDefault="00202B38" w:rsidP="00202B38">
      <w:pPr>
        <w:spacing w:line="264" w:lineRule="auto"/>
        <w:jc w:val="both"/>
        <w:rPr>
          <w:rFonts w:cstheme="minorHAnsi"/>
          <w:sz w:val="24"/>
          <w:szCs w:val="24"/>
        </w:rPr>
      </w:pPr>
      <w:r w:rsidRPr="00202B38">
        <w:rPr>
          <w:rFonts w:cstheme="minorHAnsi"/>
          <w:sz w:val="24"/>
          <w:szCs w:val="24"/>
        </w:rPr>
        <w:t>Certains indépendants et entreprises connaissent une situation particulièrement compliquée car ils sont actifs en B</w:t>
      </w:r>
      <w:r w:rsidR="0095211C">
        <w:rPr>
          <w:rFonts w:cstheme="minorHAnsi"/>
          <w:sz w:val="24"/>
          <w:szCs w:val="24"/>
        </w:rPr>
        <w:t xml:space="preserve"> </w:t>
      </w:r>
      <w:r w:rsidRPr="00202B38">
        <w:rPr>
          <w:rFonts w:cstheme="minorHAnsi"/>
          <w:sz w:val="24"/>
          <w:szCs w:val="24"/>
        </w:rPr>
        <w:t>to</w:t>
      </w:r>
      <w:r w:rsidR="0095211C">
        <w:rPr>
          <w:rFonts w:cstheme="minorHAnsi"/>
          <w:sz w:val="24"/>
          <w:szCs w:val="24"/>
        </w:rPr>
        <w:t xml:space="preserve"> </w:t>
      </w:r>
      <w:r w:rsidRPr="00202B38">
        <w:rPr>
          <w:rFonts w:cstheme="minorHAnsi"/>
          <w:sz w:val="24"/>
          <w:szCs w:val="24"/>
        </w:rPr>
        <w:t xml:space="preserve">B et fournisseurs importants des secteurs fermés, notamment les fournisseurs de l’Horeca et du secteur évènementiel tels que les brasseurs, </w:t>
      </w:r>
      <w:r w:rsidR="0095211C">
        <w:rPr>
          <w:rFonts w:cstheme="minorHAnsi"/>
          <w:sz w:val="24"/>
          <w:szCs w:val="24"/>
        </w:rPr>
        <w:t>certaines</w:t>
      </w:r>
      <w:r w:rsidRPr="00202B38">
        <w:rPr>
          <w:rFonts w:cstheme="minorHAnsi"/>
          <w:sz w:val="24"/>
          <w:szCs w:val="24"/>
        </w:rPr>
        <w:t xml:space="preserve"> blanchisseries,</w:t>
      </w:r>
      <w:r w:rsidR="00511DB6">
        <w:rPr>
          <w:rFonts w:cstheme="minorHAnsi"/>
          <w:sz w:val="24"/>
          <w:szCs w:val="24"/>
        </w:rPr>
        <w:t xml:space="preserve"> </w:t>
      </w:r>
      <w:r w:rsidR="0095211C">
        <w:rPr>
          <w:rFonts w:cstheme="minorHAnsi"/>
          <w:sz w:val="24"/>
          <w:szCs w:val="24"/>
        </w:rPr>
        <w:t>des prestataires de service</w:t>
      </w:r>
      <w:r w:rsidRPr="00202B38">
        <w:rPr>
          <w:rFonts w:cstheme="minorHAnsi"/>
          <w:sz w:val="24"/>
          <w:szCs w:val="24"/>
        </w:rPr>
        <w:t>…</w:t>
      </w:r>
      <w:r w:rsidR="0095211C">
        <w:rPr>
          <w:rFonts w:cstheme="minorHAnsi"/>
          <w:sz w:val="24"/>
          <w:szCs w:val="24"/>
        </w:rPr>
        <w:t xml:space="preserve"> </w:t>
      </w:r>
      <w:r w:rsidRPr="00202B38">
        <w:rPr>
          <w:rFonts w:cstheme="minorHAnsi"/>
          <w:sz w:val="24"/>
          <w:szCs w:val="24"/>
        </w:rPr>
        <w:t>C’est en effet toute une chaîne qui se situe en amont de l’entreprise fermée.</w:t>
      </w:r>
    </w:p>
    <w:p w14:paraId="11C4E4D5" w14:textId="1CB6166F" w:rsidR="001C0B05" w:rsidRDefault="00202B38" w:rsidP="00202B38">
      <w:pPr>
        <w:spacing w:line="264" w:lineRule="auto"/>
        <w:jc w:val="both"/>
        <w:rPr>
          <w:rFonts w:cstheme="minorHAnsi"/>
          <w:sz w:val="24"/>
          <w:szCs w:val="24"/>
        </w:rPr>
      </w:pPr>
      <w:r w:rsidRPr="00202B38">
        <w:rPr>
          <w:rFonts w:cstheme="minorHAnsi"/>
          <w:sz w:val="24"/>
          <w:szCs w:val="24"/>
        </w:rPr>
        <w:t xml:space="preserve">Il apparaît nécessaire de porter une attention particulière à leur réalité, et notamment leurs difficultés liées à la hauteur de leurs charges fixes. </w:t>
      </w:r>
    </w:p>
    <w:p w14:paraId="05ADEE24" w14:textId="73B1B8D6" w:rsidR="001C0B05" w:rsidRPr="00202B38" w:rsidRDefault="001C0B05" w:rsidP="00202B38">
      <w:pPr>
        <w:spacing w:line="264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Gouvernement de Wallonie a marqué son accord de principe quant à ce nouveau volet d’intervention. </w:t>
      </w:r>
    </w:p>
    <w:p w14:paraId="28AC829E" w14:textId="2194005D" w:rsidR="00202B38" w:rsidRDefault="00202B38" w:rsidP="00202B38">
      <w:pPr>
        <w:spacing w:line="264" w:lineRule="auto"/>
        <w:jc w:val="both"/>
        <w:rPr>
          <w:rFonts w:cstheme="minorHAnsi"/>
          <w:sz w:val="24"/>
          <w:szCs w:val="24"/>
        </w:rPr>
      </w:pPr>
      <w:r w:rsidRPr="00202B38">
        <w:rPr>
          <w:rFonts w:cstheme="minorHAnsi"/>
          <w:sz w:val="24"/>
          <w:szCs w:val="24"/>
        </w:rPr>
        <w:lastRenderedPageBreak/>
        <w:t xml:space="preserve">A cet effet, </w:t>
      </w:r>
      <w:r w:rsidR="00511DB6">
        <w:rPr>
          <w:rFonts w:cstheme="minorHAnsi"/>
          <w:sz w:val="24"/>
          <w:szCs w:val="24"/>
        </w:rPr>
        <w:t xml:space="preserve">le </w:t>
      </w:r>
      <w:r w:rsidRPr="00202B38">
        <w:rPr>
          <w:rFonts w:cstheme="minorHAnsi"/>
          <w:sz w:val="24"/>
          <w:szCs w:val="24"/>
        </w:rPr>
        <w:t xml:space="preserve">Ministre de l’Economie </w:t>
      </w:r>
      <w:r w:rsidR="00511DB6">
        <w:rPr>
          <w:rFonts w:cstheme="minorHAnsi"/>
          <w:sz w:val="24"/>
          <w:szCs w:val="24"/>
        </w:rPr>
        <w:t xml:space="preserve">proposera </w:t>
      </w:r>
      <w:r w:rsidR="001C0B05">
        <w:rPr>
          <w:rFonts w:cstheme="minorHAnsi"/>
          <w:sz w:val="24"/>
          <w:szCs w:val="24"/>
        </w:rPr>
        <w:t xml:space="preserve">très </w:t>
      </w:r>
      <w:r w:rsidR="00511DB6">
        <w:rPr>
          <w:rFonts w:cstheme="minorHAnsi"/>
          <w:sz w:val="24"/>
          <w:szCs w:val="24"/>
        </w:rPr>
        <w:t xml:space="preserve">prochainement au Gouvernement une </w:t>
      </w:r>
      <w:r w:rsidRPr="00202B38">
        <w:rPr>
          <w:rFonts w:cstheme="minorHAnsi"/>
          <w:sz w:val="24"/>
          <w:szCs w:val="24"/>
        </w:rPr>
        <w:t>indemnité spécifique à destination de ces indépendants et entreprises, tenant compte du lien de leur activité avec les secteurs fermés et qui sera calculée sur la base d’un</w:t>
      </w:r>
      <w:r w:rsidR="00877CBE">
        <w:rPr>
          <w:rFonts w:cstheme="minorHAnsi"/>
          <w:sz w:val="24"/>
          <w:szCs w:val="24"/>
        </w:rPr>
        <w:t xml:space="preserve"> pourcentage de la</w:t>
      </w:r>
      <w:r w:rsidRPr="00202B38">
        <w:rPr>
          <w:rFonts w:cstheme="minorHAnsi"/>
          <w:sz w:val="24"/>
          <w:szCs w:val="24"/>
        </w:rPr>
        <w:t xml:space="preserve"> perte de chiffre d’affaires.</w:t>
      </w:r>
    </w:p>
    <w:p w14:paraId="58F986ED" w14:textId="4A000856" w:rsidR="00D21355" w:rsidRDefault="00D21355" w:rsidP="00202B38">
      <w:pPr>
        <w:spacing w:line="264" w:lineRule="auto"/>
        <w:jc w:val="both"/>
        <w:rPr>
          <w:rFonts w:cstheme="minorHAnsi"/>
          <w:sz w:val="24"/>
          <w:szCs w:val="24"/>
        </w:rPr>
      </w:pPr>
    </w:p>
    <w:p w14:paraId="7E4CA1A2" w14:textId="128FFB3C" w:rsidR="00BD0FD0" w:rsidRPr="00BD0FD0" w:rsidRDefault="005F1E19" w:rsidP="00202B38">
      <w:pPr>
        <w:spacing w:line="264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4) </w:t>
      </w:r>
      <w:r w:rsidR="00BD0FD0" w:rsidRPr="00BD0FD0">
        <w:rPr>
          <w:rFonts w:cstheme="minorHAnsi"/>
          <w:b/>
          <w:bCs/>
          <w:sz w:val="24"/>
          <w:szCs w:val="24"/>
          <w:u w:val="single"/>
        </w:rPr>
        <w:t xml:space="preserve">Fonds </w:t>
      </w:r>
      <w:r>
        <w:rPr>
          <w:rFonts w:cstheme="minorHAnsi"/>
          <w:b/>
          <w:bCs/>
          <w:sz w:val="24"/>
          <w:szCs w:val="24"/>
          <w:u w:val="single"/>
        </w:rPr>
        <w:t xml:space="preserve">pour certains </w:t>
      </w:r>
      <w:r w:rsidR="00BD0FD0" w:rsidRPr="00BD0FD0">
        <w:rPr>
          <w:rFonts w:cstheme="minorHAnsi"/>
          <w:b/>
          <w:bCs/>
          <w:sz w:val="24"/>
          <w:szCs w:val="24"/>
          <w:u w:val="single"/>
        </w:rPr>
        <w:t>secteurs spécifiques</w:t>
      </w:r>
    </w:p>
    <w:p w14:paraId="3844D61C" w14:textId="337CCDD9" w:rsidR="00BD0FD0" w:rsidRDefault="005F1E19" w:rsidP="00202B38">
      <w:pPr>
        <w:spacing w:line="264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Certaines activités ne rentrent pas, pour l’essentiel, dans les catégories reprises ci-dessus mais sont aussi fortement impactées. Exemples : les agences de voyage</w:t>
      </w:r>
      <w:r w:rsidR="007032A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, les louageurs… </w:t>
      </w:r>
    </w:p>
    <w:p w14:paraId="7B330664" w14:textId="502E440F" w:rsidR="005F1E19" w:rsidRDefault="005F1E19" w:rsidP="00202B38">
      <w:pPr>
        <w:spacing w:line="264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C’est pourquoi le Gouvernement a décidé de les aider à travers un fond</w:t>
      </w:r>
      <w:r w:rsidR="009A579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dont les modalités sont en voie de finalisation. </w:t>
      </w:r>
    </w:p>
    <w:p w14:paraId="3ACD194C" w14:textId="69504A5B" w:rsidR="005F1E19" w:rsidRDefault="005F1E19" w:rsidP="00202B38">
      <w:pPr>
        <w:spacing w:line="264" w:lineRule="auto"/>
        <w:jc w:val="both"/>
        <w:rPr>
          <w:rFonts w:cstheme="minorHAnsi"/>
          <w:sz w:val="24"/>
          <w:szCs w:val="24"/>
        </w:rPr>
      </w:pPr>
    </w:p>
    <w:p w14:paraId="4841656B" w14:textId="77777777" w:rsidR="005F1E19" w:rsidRPr="00202B38" w:rsidRDefault="005F1E19" w:rsidP="00202B38">
      <w:pPr>
        <w:spacing w:line="264" w:lineRule="auto"/>
        <w:jc w:val="both"/>
        <w:rPr>
          <w:rFonts w:cstheme="minorHAnsi"/>
          <w:sz w:val="24"/>
          <w:szCs w:val="24"/>
        </w:rPr>
      </w:pPr>
    </w:p>
    <w:p w14:paraId="2F5D28D8" w14:textId="2E0A95C8" w:rsidR="00D21355" w:rsidRPr="00202B38" w:rsidRDefault="00D21355" w:rsidP="00202B38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 rappel, une entreprise peut s’adresser au 1890 pour toute question d’ordre économique (</w:t>
      </w:r>
      <w:hyperlink r:id="rId26" w:history="1">
        <w:r w:rsidRPr="008A7009">
          <w:rPr>
            <w:rStyle w:val="Lienhypertexte"/>
            <w:rFonts w:cstheme="minorHAnsi"/>
            <w:sz w:val="24"/>
            <w:szCs w:val="24"/>
          </w:rPr>
          <w:t>https://www.1890.be/</w:t>
        </w:r>
      </w:hyperlink>
      <w:r>
        <w:rPr>
          <w:rFonts w:cstheme="minorHAnsi"/>
          <w:sz w:val="24"/>
          <w:szCs w:val="24"/>
        </w:rPr>
        <w:t xml:space="preserve">), le numéro </w:t>
      </w:r>
      <w:r w:rsidRPr="00D21355">
        <w:rPr>
          <w:rFonts w:cstheme="minorHAnsi"/>
          <w:sz w:val="24"/>
          <w:szCs w:val="24"/>
        </w:rPr>
        <w:t>1718 (numéro gratuit de l'administration wallonne)</w:t>
      </w:r>
      <w:r>
        <w:rPr>
          <w:rFonts w:cstheme="minorHAnsi"/>
          <w:sz w:val="24"/>
          <w:szCs w:val="24"/>
        </w:rPr>
        <w:t xml:space="preserve"> a été renforcé pour répondre aux questions r</w:t>
      </w:r>
      <w:r w:rsidRPr="00D21355">
        <w:rPr>
          <w:rFonts w:cstheme="minorHAnsi"/>
          <w:sz w:val="24"/>
          <w:szCs w:val="24"/>
        </w:rPr>
        <w:t>elatives aux aides existantes en matière d'alimentation, de crédit, de logement, de situation professionnelle ou de chômage</w:t>
      </w:r>
      <w:r>
        <w:rPr>
          <w:rFonts w:cstheme="minorHAnsi"/>
          <w:sz w:val="24"/>
          <w:szCs w:val="24"/>
        </w:rPr>
        <w:t>, et un nu</w:t>
      </w:r>
      <w:r w:rsidRPr="00D21355">
        <w:rPr>
          <w:rFonts w:cstheme="minorHAnsi"/>
          <w:sz w:val="24"/>
          <w:szCs w:val="24"/>
        </w:rPr>
        <w:t>méro vert gratuit</w:t>
      </w:r>
      <w:r>
        <w:rPr>
          <w:rFonts w:cstheme="minorHAnsi"/>
          <w:sz w:val="24"/>
          <w:szCs w:val="24"/>
        </w:rPr>
        <w:t xml:space="preserve"> est également accessible</w:t>
      </w:r>
      <w:r w:rsidRPr="00D2135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au </w:t>
      </w:r>
      <w:r w:rsidRPr="00D21355">
        <w:rPr>
          <w:rFonts w:cstheme="minorHAnsi"/>
          <w:sz w:val="24"/>
          <w:szCs w:val="24"/>
        </w:rPr>
        <w:t xml:space="preserve">0800/300.25 </w:t>
      </w:r>
      <w:r>
        <w:rPr>
          <w:rFonts w:cstheme="minorHAnsi"/>
          <w:sz w:val="24"/>
          <w:szCs w:val="24"/>
        </w:rPr>
        <w:t>pour les questions de détresse psychologique.</w:t>
      </w:r>
    </w:p>
    <w:p w14:paraId="3F7DD521" w14:textId="77777777" w:rsidR="005357F6" w:rsidRPr="00202B38" w:rsidRDefault="005357F6">
      <w:pPr>
        <w:rPr>
          <w:rFonts w:cstheme="minorHAnsi"/>
          <w:sz w:val="24"/>
          <w:szCs w:val="24"/>
        </w:rPr>
      </w:pPr>
    </w:p>
    <w:sectPr w:rsidR="005357F6" w:rsidRPr="0020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67120" w14:textId="77777777" w:rsidR="00495DB5" w:rsidRDefault="00495DB5" w:rsidP="00202B38">
      <w:pPr>
        <w:spacing w:after="0" w:line="240" w:lineRule="auto"/>
      </w:pPr>
      <w:r>
        <w:separator/>
      </w:r>
    </w:p>
  </w:endnote>
  <w:endnote w:type="continuationSeparator" w:id="0">
    <w:p w14:paraId="3519296B" w14:textId="77777777" w:rsidR="00495DB5" w:rsidRDefault="00495DB5" w:rsidP="0020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471E7" w14:textId="77777777" w:rsidR="00495DB5" w:rsidRDefault="00495DB5" w:rsidP="00202B38">
      <w:pPr>
        <w:spacing w:after="0" w:line="240" w:lineRule="auto"/>
      </w:pPr>
      <w:r>
        <w:separator/>
      </w:r>
    </w:p>
  </w:footnote>
  <w:footnote w:type="continuationSeparator" w:id="0">
    <w:p w14:paraId="1E560E02" w14:textId="77777777" w:rsidR="00495DB5" w:rsidRDefault="00495DB5" w:rsidP="00202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15BD"/>
    <w:multiLevelType w:val="multilevel"/>
    <w:tmpl w:val="A4CCC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590" w:hanging="123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590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295F6288"/>
    <w:multiLevelType w:val="hybridMultilevel"/>
    <w:tmpl w:val="7E6ED662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E46DE1"/>
    <w:multiLevelType w:val="hybridMultilevel"/>
    <w:tmpl w:val="E96A4FB0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60EC9"/>
    <w:multiLevelType w:val="hybridMultilevel"/>
    <w:tmpl w:val="F2C6513C"/>
    <w:lvl w:ilvl="0" w:tplc="09FC5A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F6EBF"/>
    <w:multiLevelType w:val="hybridMultilevel"/>
    <w:tmpl w:val="BA04C99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95AEA"/>
    <w:multiLevelType w:val="hybridMultilevel"/>
    <w:tmpl w:val="7B7A7DC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107C1"/>
    <w:multiLevelType w:val="hybridMultilevel"/>
    <w:tmpl w:val="E200AFD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749BF"/>
    <w:multiLevelType w:val="hybridMultilevel"/>
    <w:tmpl w:val="C56C575A"/>
    <w:lvl w:ilvl="0" w:tplc="19F66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43F2B"/>
    <w:multiLevelType w:val="hybridMultilevel"/>
    <w:tmpl w:val="41EEA81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38"/>
    <w:rsid w:val="00073060"/>
    <w:rsid w:val="001C0B05"/>
    <w:rsid w:val="001C37FD"/>
    <w:rsid w:val="00202B38"/>
    <w:rsid w:val="004761D4"/>
    <w:rsid w:val="00495DB5"/>
    <w:rsid w:val="004C5D3B"/>
    <w:rsid w:val="004F5BC9"/>
    <w:rsid w:val="00511DB6"/>
    <w:rsid w:val="005357F6"/>
    <w:rsid w:val="005F1E19"/>
    <w:rsid w:val="007032AC"/>
    <w:rsid w:val="007C7A91"/>
    <w:rsid w:val="00877CBE"/>
    <w:rsid w:val="0095211C"/>
    <w:rsid w:val="00952721"/>
    <w:rsid w:val="009A5794"/>
    <w:rsid w:val="00BD0FD0"/>
    <w:rsid w:val="00C11423"/>
    <w:rsid w:val="00D21355"/>
    <w:rsid w:val="00EA10EC"/>
    <w:rsid w:val="00F3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C4C2A"/>
  <w15:chartTrackingRefBased/>
  <w15:docId w15:val="{56E1B338-5CFC-4692-A618-96C6C083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B3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02B38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CorpsdetexteCar">
    <w:name w:val="Corps de texte Car"/>
    <w:basedOn w:val="Policepardfaut"/>
    <w:link w:val="Corpsdetexte"/>
    <w:rsid w:val="00202B38"/>
    <w:rPr>
      <w:rFonts w:ascii="Arial" w:eastAsia="Times New Roman" w:hAnsi="Arial" w:cs="Arial"/>
      <w:sz w:val="28"/>
      <w:szCs w:val="24"/>
    </w:rPr>
  </w:style>
  <w:style w:type="character" w:styleId="Lienhypertexte">
    <w:name w:val="Hyperlink"/>
    <w:basedOn w:val="Policepardfaut"/>
    <w:uiPriority w:val="99"/>
    <w:unhideWhenUsed/>
    <w:rsid w:val="00202B38"/>
    <w:rPr>
      <w:color w:val="0563C1" w:themeColor="hyperlink"/>
      <w:u w:val="single"/>
    </w:rPr>
  </w:style>
  <w:style w:type="character" w:customStyle="1" w:styleId="lt-line-clampline">
    <w:name w:val="lt-line-clamp__line"/>
    <w:basedOn w:val="Policepardfaut"/>
    <w:rsid w:val="00202B38"/>
  </w:style>
  <w:style w:type="paragraph" w:styleId="Paragraphedeliste">
    <w:name w:val="List Paragraph"/>
    <w:aliases w:val="Paragraphe + puce,Lettre d'introduction,List Paragraph1,Numbered paragraph 1,tiret2,Bullet 1,Liste Niveau 1,List Paragraph,Paragraphe de liste1,liste à numéros,Puce tiret"/>
    <w:basedOn w:val="Normal"/>
    <w:link w:val="ParagraphedelisteCar"/>
    <w:uiPriority w:val="34"/>
    <w:qFormat/>
    <w:rsid w:val="00202B38"/>
    <w:pPr>
      <w:ind w:left="720"/>
      <w:contextualSpacing/>
    </w:pPr>
  </w:style>
  <w:style w:type="paragraph" w:customStyle="1" w:styleId="Textesimple">
    <w:name w:val="Texte simple"/>
    <w:basedOn w:val="Normal"/>
    <w:rsid w:val="00202B3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rsid w:val="00202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rsid w:val="00202B3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rsid w:val="00202B38"/>
    <w:rPr>
      <w:vertAlign w:val="superscript"/>
    </w:rPr>
  </w:style>
  <w:style w:type="character" w:customStyle="1" w:styleId="ParagraphedelisteCar">
    <w:name w:val="Paragraphe de liste Car"/>
    <w:aliases w:val="Paragraphe + puce Car,Lettre d'introduction Car,List Paragraph1 Car,Numbered paragraph 1 Car,tiret2 Car,Bullet 1 Car,Liste Niveau 1 Car,List Paragraph Car,Paragraphe de liste1 Car,liste à numéros Car,Puce tiret Car"/>
    <w:link w:val="Paragraphedeliste"/>
    <w:uiPriority w:val="34"/>
    <w:rsid w:val="00202B38"/>
  </w:style>
  <w:style w:type="paragraph" w:styleId="Textedebulles">
    <w:name w:val="Balloon Text"/>
    <w:basedOn w:val="Normal"/>
    <w:link w:val="TextedebullesCar"/>
    <w:uiPriority w:val="99"/>
    <w:semiHidden/>
    <w:unhideWhenUsed/>
    <w:rsid w:val="0047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1D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21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bievez@gov.wallonie.be" TargetMode="External"/><Relationship Id="rId13" Type="http://schemas.openxmlformats.org/officeDocument/2006/relationships/hyperlink" Target="file:///C:\Users\cchariere\AppData\Local\Microsoft\Windows\INetCache\Content.MSO\62920BC1.xlsx" TargetMode="External"/><Relationship Id="rId18" Type="http://schemas.openxmlformats.org/officeDocument/2006/relationships/hyperlink" Target="file:///C:\Users\cchariere\AppData\Local\Microsoft\Windows\INetCache\Content.MSO\62920BC1.xlsx" TargetMode="External"/><Relationship Id="rId26" Type="http://schemas.openxmlformats.org/officeDocument/2006/relationships/hyperlink" Target="https://www.1890.be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cchariere\AppData\Local\Microsoft\Windows\INetCache\Content.MSO\62920BC1.xlsx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cchariere\AppData\Local\Microsoft\Windows\INetCache\Content.MSO\62920BC1.xlsx" TargetMode="External"/><Relationship Id="rId17" Type="http://schemas.openxmlformats.org/officeDocument/2006/relationships/hyperlink" Target="file:///C:\Users\cchariere\AppData\Local\Microsoft\Windows\INetCache\Content.MSO\62920BC1.xlsx" TargetMode="External"/><Relationship Id="rId25" Type="http://schemas.openxmlformats.org/officeDocument/2006/relationships/hyperlink" Target="file:///C:\Users\cchariere\AppData\Local\Microsoft\Windows\INetCache\Content.MSO\62920BC1.xls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cchariere\AppData\Local\Microsoft\Windows\INetCache\Content.MSO\62920BC1.xlsx" TargetMode="External"/><Relationship Id="rId20" Type="http://schemas.openxmlformats.org/officeDocument/2006/relationships/hyperlink" Target="file:///C:\Users\cchariere\AppData\Local\Microsoft\Windows\INetCache\Content.MSO\62920BC1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cchariere\AppData\Local\Microsoft\Windows\INetCache\Content.MSO\64BFCD7E.xlsx" TargetMode="External"/><Relationship Id="rId24" Type="http://schemas.openxmlformats.org/officeDocument/2006/relationships/hyperlink" Target="file:///C:\Users\cchariere\AppData\Local\Microsoft\Windows\INetCache\Content.MSO\62920BC1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cchariere\AppData\Local\Microsoft\Windows\INetCache\Content.MSO\62920BC1.xlsx" TargetMode="External"/><Relationship Id="rId23" Type="http://schemas.openxmlformats.org/officeDocument/2006/relationships/hyperlink" Target="file:///C:\Users\cchariere\AppData\Local\Microsoft\Windows\INetCache\Content.MSO\62920BC1.xls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cchariere\AppData\Local\Microsoft\Windows\INetCache\Content.MSO\64BFCD7E.xlsx" TargetMode="External"/><Relationship Id="rId19" Type="http://schemas.openxmlformats.org/officeDocument/2006/relationships/hyperlink" Target="file:///C:\Users\cchariere\AppData\Local\Microsoft\Windows\INetCache\Content.MSO\62920BC1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chariere\AppData\Local\Microsoft\Windows\INetCache\Content.MSO\64BFCD7E.xlsx" TargetMode="External"/><Relationship Id="rId14" Type="http://schemas.openxmlformats.org/officeDocument/2006/relationships/hyperlink" Target="file:///C:\Users\cchariere\AppData\Local\Microsoft\Windows\INetCache\Content.MSO\62920BC1.xlsx" TargetMode="External"/><Relationship Id="rId22" Type="http://schemas.openxmlformats.org/officeDocument/2006/relationships/hyperlink" Target="file:///C:\Users\cchariere\AppData\Local\Microsoft\Windows\INetCache\Content.MSO\62920BC1.xls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1501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Bievez</dc:creator>
  <cp:keywords/>
  <dc:description/>
  <cp:lastModifiedBy>Moreau Hugo</cp:lastModifiedBy>
  <cp:revision>2</cp:revision>
  <cp:lastPrinted>2021-02-04T13:04:00Z</cp:lastPrinted>
  <dcterms:created xsi:type="dcterms:W3CDTF">2021-02-04T14:52:00Z</dcterms:created>
  <dcterms:modified xsi:type="dcterms:W3CDTF">2021-02-04T14:52:00Z</dcterms:modified>
</cp:coreProperties>
</file>