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03" w:rsidRDefault="00E24E03" w:rsidP="00E2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jc w:val="center"/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</w:pPr>
      <w:bookmarkStart w:id="0" w:name="_Toc35422538"/>
      <w:r>
        <w:rPr>
          <w:rFonts w:asciiTheme="minorHAnsi" w:eastAsiaTheme="majorEastAsia" w:hAnsiTheme="minorHAnsi" w:cstheme="minorHAnsi"/>
          <w:b/>
          <w:bCs/>
          <w:noProof/>
          <w:color w:val="000000" w:themeColor="text1"/>
          <w:sz w:val="32"/>
          <w:szCs w:val="32"/>
          <w:lang w:eastAsia="fr-BE"/>
        </w:rPr>
        <w:drawing>
          <wp:inline distT="0" distB="0" distL="0" distR="0" wp14:anchorId="45D6F9EA" wp14:editId="633E6AB6">
            <wp:extent cx="4610420" cy="143866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3-19 à 14.02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172" cy="14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0A" w:rsidRDefault="00400C82" w:rsidP="00E2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jc w:val="center"/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</w:pPr>
      <w:r w:rsidRPr="00400C82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  <w:t xml:space="preserve">Coronavirus </w:t>
      </w:r>
    </w:p>
    <w:p w:rsidR="006E2D0A" w:rsidRDefault="006E2D0A" w:rsidP="00E2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jc w:val="center"/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</w:pPr>
      <w:r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  <w:t>M</w:t>
      </w:r>
      <w:r w:rsidR="001D0640" w:rsidRPr="00400C82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  <w:t>esures de soutien supplémentaires</w:t>
      </w:r>
      <w:r w:rsidR="00400C82" w:rsidRPr="00400C82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  <w:t xml:space="preserve"> </w:t>
      </w:r>
      <w:r w:rsidR="00E41631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  <w:br/>
      </w:r>
      <w:r w:rsidR="00400C82" w:rsidRPr="00400C82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  <w:t>des outils de financement publics</w:t>
      </w:r>
      <w:r w:rsidR="00D631A9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  <w:t xml:space="preserve"> </w:t>
      </w:r>
    </w:p>
    <w:p w:rsidR="001D0640" w:rsidRDefault="00D631A9" w:rsidP="00E2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jc w:val="center"/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</w:pPr>
      <w:r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  <w:t>SOWALFIN, SOGEPA et SRIW</w:t>
      </w:r>
    </w:p>
    <w:p w:rsidR="00E24E03" w:rsidRPr="00400C82" w:rsidRDefault="00E24E03" w:rsidP="00E2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  <w:lang w:val="fr-FR"/>
        </w:rPr>
      </w:pPr>
    </w:p>
    <w:p w:rsidR="001D0640" w:rsidRPr="00400C82" w:rsidRDefault="001D0640" w:rsidP="001D0640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  <w:lang w:val="fr-FR"/>
        </w:rPr>
      </w:pPr>
    </w:p>
    <w:p w:rsidR="00465C9E" w:rsidRPr="00E41631" w:rsidRDefault="00400C82" w:rsidP="00465C9E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b/>
          <w:color w:val="000000" w:themeColor="text1"/>
        </w:rPr>
      </w:pPr>
      <w:r w:rsidRPr="00E41631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Face à la crise </w:t>
      </w:r>
      <w:r w:rsidR="006C51D1" w:rsidRPr="00E41631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>exceptionnelle liée au Covid-19</w:t>
      </w:r>
      <w:r w:rsidRPr="00E41631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, </w:t>
      </w:r>
      <w:r w:rsidR="006C51D1" w:rsidRPr="00E41631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le Gouvernement de Wallonie s’est réuni </w:t>
      </w:r>
      <w:r w:rsidRPr="00E41631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ce 18 mars 2020 </w:t>
      </w:r>
      <w:r w:rsidR="006C51D1" w:rsidRPr="00E41631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>afin de prendre une série de mesures</w:t>
      </w:r>
      <w:r w:rsidRPr="00E41631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 desti</w:t>
      </w:r>
      <w:r w:rsidR="00465C9E" w:rsidRPr="00E41631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nées à soutenir les entreprises, notamment à travers la constitution d’un fonds extraordinaire de solidarité de 350 millions d’euros dont </w:t>
      </w:r>
      <w:r w:rsidR="0039216D" w:rsidRPr="00E41631">
        <w:rPr>
          <w:rFonts w:asciiTheme="minorHAnsi" w:eastAsiaTheme="majorEastAsia" w:hAnsiTheme="minorHAnsi" w:cstheme="minorHAnsi"/>
          <w:b/>
          <w:color w:val="000000" w:themeColor="text1"/>
        </w:rPr>
        <w:t xml:space="preserve">233 millions </w:t>
      </w:r>
      <w:r w:rsidR="00465C9E" w:rsidRPr="00E41631">
        <w:rPr>
          <w:rFonts w:asciiTheme="minorHAnsi" w:eastAsiaTheme="majorEastAsia" w:hAnsiTheme="minorHAnsi" w:cstheme="minorHAnsi"/>
          <w:b/>
          <w:color w:val="000000" w:themeColor="text1"/>
        </w:rPr>
        <w:t xml:space="preserve">viennent en soutien </w:t>
      </w:r>
      <w:r w:rsidR="0039216D" w:rsidRPr="00E41631">
        <w:rPr>
          <w:rFonts w:asciiTheme="minorHAnsi" w:eastAsiaTheme="majorEastAsia" w:hAnsiTheme="minorHAnsi" w:cstheme="minorHAnsi"/>
          <w:b/>
          <w:color w:val="000000" w:themeColor="text1"/>
        </w:rPr>
        <w:t xml:space="preserve">aux </w:t>
      </w:r>
      <w:r w:rsidR="00465C9E" w:rsidRPr="00E41631">
        <w:rPr>
          <w:rFonts w:asciiTheme="minorHAnsi" w:eastAsiaTheme="majorEastAsia" w:hAnsiTheme="minorHAnsi" w:cstheme="minorHAnsi"/>
          <w:b/>
          <w:color w:val="000000" w:themeColor="text1"/>
        </w:rPr>
        <w:t xml:space="preserve">entreprises </w:t>
      </w:r>
      <w:r w:rsidR="0039216D" w:rsidRPr="00E41631">
        <w:rPr>
          <w:rFonts w:asciiTheme="minorHAnsi" w:eastAsiaTheme="majorEastAsia" w:hAnsiTheme="minorHAnsi" w:cstheme="minorHAnsi"/>
          <w:b/>
          <w:color w:val="000000" w:themeColor="text1"/>
        </w:rPr>
        <w:t>et indépendants</w:t>
      </w:r>
      <w:r w:rsidR="00465C9E" w:rsidRPr="00E41631">
        <w:rPr>
          <w:rFonts w:asciiTheme="minorHAnsi" w:eastAsiaTheme="majorEastAsia" w:hAnsiTheme="minorHAnsi" w:cstheme="minorHAnsi"/>
          <w:b/>
          <w:color w:val="000000" w:themeColor="text1"/>
        </w:rPr>
        <w:t>.</w:t>
      </w:r>
    </w:p>
    <w:p w:rsidR="00465C9E" w:rsidRDefault="00465C9E" w:rsidP="00465C9E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:rsidR="007C053E" w:rsidRDefault="007C053E" w:rsidP="00D631A9">
      <w:pPr>
        <w:spacing w:after="160" w:line="259" w:lineRule="auto"/>
        <w:jc w:val="both"/>
        <w:rPr>
          <w:rFonts w:asciiTheme="minorHAnsi" w:eastAsiaTheme="majorEastAsia" w:hAnsiTheme="minorHAnsi" w:cstheme="minorHAnsi"/>
          <w:color w:val="000000" w:themeColor="text1"/>
          <w:lang w:val="fr-FR"/>
        </w:rPr>
      </w:pPr>
    </w:p>
    <w:p w:rsidR="007C053E" w:rsidRPr="006A6D47" w:rsidRDefault="007C053E" w:rsidP="007C053E">
      <w:pPr>
        <w:pStyle w:val="Paragraphedeliste"/>
        <w:numPr>
          <w:ilvl w:val="0"/>
          <w:numId w:val="31"/>
        </w:numPr>
        <w:tabs>
          <w:tab w:val="left" w:pos="2768"/>
        </w:tabs>
        <w:jc w:val="both"/>
        <w:rPr>
          <w:rFonts w:asciiTheme="minorHAnsi" w:eastAsiaTheme="majorEastAsia" w:hAnsiTheme="minorHAnsi" w:cstheme="minorHAnsi"/>
          <w:b/>
          <w:color w:val="000000" w:themeColor="text1"/>
          <w:lang w:val="fr-FR"/>
        </w:rPr>
      </w:pPr>
      <w:bookmarkStart w:id="1" w:name="_GoBack"/>
      <w:r w:rsidRPr="006A6D47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Prêts </w:t>
      </w:r>
      <w:r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actuels </w:t>
      </w:r>
      <w:r w:rsidRPr="006A6D47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>auprès des groupe</w:t>
      </w:r>
      <w:r w:rsidR="0020353A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>s</w:t>
      </w:r>
      <w:r w:rsidRPr="006A6D47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 SOWALFIN, SOGEPA et SRIW </w:t>
      </w:r>
    </w:p>
    <w:p w:rsidR="007C053E" w:rsidRDefault="007C053E" w:rsidP="00D631A9">
      <w:pPr>
        <w:spacing w:after="160" w:line="259" w:lineRule="auto"/>
        <w:jc w:val="both"/>
        <w:rPr>
          <w:rFonts w:asciiTheme="minorHAnsi" w:eastAsiaTheme="majorEastAsia" w:hAnsiTheme="minorHAnsi" w:cstheme="minorHAnsi"/>
          <w:color w:val="000000" w:themeColor="text1"/>
          <w:lang w:val="fr-FR"/>
        </w:rPr>
      </w:pPr>
    </w:p>
    <w:p w:rsidR="00845F0F" w:rsidRDefault="00D631A9" w:rsidP="00D631A9">
      <w:pPr>
        <w:spacing w:after="160" w:line="259" w:lineRule="auto"/>
        <w:jc w:val="both"/>
        <w:rPr>
          <w:rFonts w:asciiTheme="minorHAnsi" w:eastAsiaTheme="majorEastAsia" w:hAnsiTheme="minorHAnsi" w:cstheme="minorHAnsi"/>
          <w:color w:val="000000" w:themeColor="text1"/>
          <w:lang w:val="fr-FR"/>
        </w:rPr>
      </w:pPr>
      <w:r w:rsidRPr="00D631A9">
        <w:rPr>
          <w:rFonts w:asciiTheme="minorHAnsi" w:eastAsiaTheme="majorEastAsia" w:hAnsiTheme="minorHAnsi" w:cstheme="minorHAnsi"/>
          <w:color w:val="000000" w:themeColor="text1"/>
          <w:lang w:val="fr-FR"/>
        </w:rPr>
        <w:t>L’</w:t>
      </w:r>
      <w:r w:rsidR="00201237">
        <w:rPr>
          <w:rFonts w:asciiTheme="minorHAnsi" w:eastAsiaTheme="majorEastAsia" w:hAnsiTheme="minorHAnsi" w:cstheme="minorHAnsi"/>
          <w:color w:val="000000" w:themeColor="text1"/>
          <w:lang w:val="fr-FR"/>
        </w:rPr>
        <w:t>échéance en capital et intérêts au</w:t>
      </w:r>
      <w:r w:rsidRPr="00D631A9"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 31 mars </w:t>
      </w:r>
      <w:r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2020 </w:t>
      </w:r>
      <w:r w:rsidRPr="00D631A9">
        <w:rPr>
          <w:rFonts w:asciiTheme="minorHAnsi" w:eastAsiaTheme="majorEastAsia" w:hAnsiTheme="minorHAnsi" w:cstheme="minorHAnsi"/>
          <w:color w:val="000000" w:themeColor="text1"/>
          <w:lang w:val="fr-FR"/>
        </w:rPr>
        <w:t>ne sera pas prélevée.</w:t>
      </w:r>
      <w:r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 </w:t>
      </w:r>
    </w:p>
    <w:p w:rsidR="00A82A82" w:rsidRPr="007C053E" w:rsidRDefault="00D631A9" w:rsidP="00D631A9">
      <w:pPr>
        <w:spacing w:after="160" w:line="259" w:lineRule="auto"/>
        <w:jc w:val="both"/>
        <w:rPr>
          <w:rFonts w:asciiTheme="minorHAnsi" w:eastAsiaTheme="majorEastAsia" w:hAnsiTheme="minorHAnsi" w:cstheme="minorHAnsi"/>
          <w:color w:val="000000" w:themeColor="text1"/>
          <w:lang w:val="fr-FR"/>
        </w:rPr>
      </w:pPr>
      <w:r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>Le plan d’amortissement en capital est reporté automatiquement d’une période équivalente</w:t>
      </w:r>
      <w:r w:rsidR="00845F0F"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. </w:t>
      </w:r>
    </w:p>
    <w:p w:rsidR="001618C2" w:rsidRDefault="00845F0F" w:rsidP="00D631A9">
      <w:pPr>
        <w:spacing w:after="160" w:line="259" w:lineRule="auto"/>
        <w:jc w:val="both"/>
        <w:rPr>
          <w:rFonts w:asciiTheme="minorHAnsi" w:eastAsiaTheme="majorEastAsia" w:hAnsiTheme="minorHAnsi" w:cstheme="minorHAnsi"/>
          <w:color w:val="000000" w:themeColor="text1"/>
          <w:lang w:val="fr-FR"/>
        </w:rPr>
      </w:pPr>
      <w:r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>Cette mesure se réalisera</w:t>
      </w:r>
      <w:r w:rsidR="00D631A9"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 sans aucun intérêt supplémentaire, ni frais à charge de l’entreprise</w:t>
      </w:r>
      <w:r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 pour tous les prêts dont l’encours est inférieur</w:t>
      </w:r>
      <w:r w:rsidR="00A42A49"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 (ou égal</w:t>
      </w:r>
      <w:r w:rsidR="0020353A"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) à 2,5 millions EUR. </w:t>
      </w:r>
      <w:r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Pour les prêts d’un encours supérieur, </w:t>
      </w:r>
      <w:r w:rsidR="00A42A49"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la question des intérêts </w:t>
      </w:r>
      <w:r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>nécessitera un examen individuel du dossier</w:t>
      </w:r>
      <w:r w:rsidR="00A56279"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 en concertation avec les partenaires </w:t>
      </w:r>
      <w:r w:rsidR="00C227CD"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 xml:space="preserve">bancaires et </w:t>
      </w:r>
      <w:r w:rsidR="00A56279"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>financiers concernés</w:t>
      </w:r>
      <w:r w:rsidRPr="007C053E">
        <w:rPr>
          <w:rFonts w:asciiTheme="minorHAnsi" w:eastAsiaTheme="majorEastAsia" w:hAnsiTheme="minorHAnsi" w:cstheme="minorHAnsi"/>
          <w:color w:val="000000" w:themeColor="text1"/>
          <w:lang w:val="fr-FR"/>
        </w:rPr>
        <w:t>.</w:t>
      </w:r>
    </w:p>
    <w:p w:rsidR="00540132" w:rsidRPr="00BF2299" w:rsidRDefault="00BF2299" w:rsidP="00BF2299">
      <w:pPr>
        <w:tabs>
          <w:tab w:val="left" w:pos="1034"/>
        </w:tabs>
        <w:spacing w:after="160" w:line="259" w:lineRule="auto"/>
        <w:jc w:val="both"/>
        <w:rPr>
          <w:rFonts w:asciiTheme="minorHAnsi" w:eastAsiaTheme="majorEastAsia" w:hAnsiTheme="minorHAnsi" w:cstheme="minorHAnsi"/>
          <w:color w:val="000000" w:themeColor="text1"/>
          <w:sz w:val="10"/>
          <w:lang w:val="fr-FR"/>
        </w:rPr>
      </w:pPr>
      <w:r w:rsidRPr="00BF2299">
        <w:rPr>
          <w:rFonts w:asciiTheme="minorHAnsi" w:eastAsiaTheme="majorEastAsia" w:hAnsiTheme="minorHAnsi" w:cstheme="minorHAnsi"/>
          <w:color w:val="000000" w:themeColor="text1"/>
          <w:sz w:val="10"/>
          <w:lang w:val="fr-FR"/>
        </w:rPr>
        <w:tab/>
      </w:r>
    </w:p>
    <w:p w:rsidR="00D631A9" w:rsidRDefault="006A6D47" w:rsidP="007C053E">
      <w:pPr>
        <w:pStyle w:val="Paragraphedeliste"/>
        <w:numPr>
          <w:ilvl w:val="0"/>
          <w:numId w:val="31"/>
        </w:numPr>
        <w:tabs>
          <w:tab w:val="left" w:pos="2768"/>
        </w:tabs>
        <w:jc w:val="both"/>
        <w:rPr>
          <w:rFonts w:asciiTheme="minorHAnsi" w:eastAsiaTheme="majorEastAsia" w:hAnsiTheme="minorHAnsi" w:cstheme="minorHAnsi"/>
          <w:b/>
          <w:color w:val="000000" w:themeColor="text1"/>
          <w:lang w:val="fr-FR"/>
        </w:rPr>
      </w:pPr>
      <w:r w:rsidRPr="006A6D47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Garanties sur les lignes de crédit </w:t>
      </w:r>
      <w:r w:rsidR="00E41631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>Court Terme</w:t>
      </w:r>
      <w:r w:rsidR="001618C2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 </w:t>
      </w:r>
      <w:r w:rsidR="00E92258" w:rsidRPr="007C053E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>et sur les crédits de type crédit d’investissement</w:t>
      </w:r>
    </w:p>
    <w:p w:rsidR="00D631A9" w:rsidRDefault="00D631A9" w:rsidP="00D631A9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b/>
          <w:color w:val="000000" w:themeColor="text1"/>
          <w:lang w:val="fr-FR"/>
        </w:rPr>
      </w:pPr>
    </w:p>
    <w:p w:rsidR="00D631A9" w:rsidRDefault="00BF2299" w:rsidP="00D631A9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BF2299">
        <w:rPr>
          <w:rFonts w:asciiTheme="minorHAnsi" w:eastAsiaTheme="majorEastAsia" w:hAnsiTheme="minorHAnsi" w:cstheme="minorHAnsi"/>
          <w:color w:val="000000" w:themeColor="text1"/>
        </w:rPr>
        <w:t xml:space="preserve">Des garanties supplémentaires peuvent être octroyées par la </w:t>
      </w:r>
      <w:r w:rsidR="00D631A9" w:rsidRPr="00BF2299">
        <w:rPr>
          <w:rFonts w:asciiTheme="minorHAnsi" w:eastAsiaTheme="majorEastAsia" w:hAnsiTheme="minorHAnsi" w:cstheme="minorHAnsi"/>
          <w:color w:val="000000" w:themeColor="text1"/>
        </w:rPr>
        <w:t xml:space="preserve">SOWALFIN – SOFINEX </w:t>
      </w:r>
      <w:r w:rsidR="00540132" w:rsidRPr="00BF2299">
        <w:rPr>
          <w:rFonts w:asciiTheme="minorHAnsi" w:eastAsiaTheme="majorEastAsia" w:hAnsiTheme="minorHAnsi" w:cstheme="minorHAnsi"/>
          <w:color w:val="000000" w:themeColor="text1"/>
        </w:rPr>
        <w:t>– GELIGAR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 à concurrence de :</w:t>
      </w:r>
    </w:p>
    <w:p w:rsidR="00D631A9" w:rsidRPr="00D631A9" w:rsidRDefault="00540132" w:rsidP="00D631A9">
      <w:pPr>
        <w:numPr>
          <w:ilvl w:val="0"/>
          <w:numId w:val="25"/>
        </w:num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7C053E">
        <w:rPr>
          <w:rFonts w:asciiTheme="minorHAnsi" w:eastAsiaTheme="majorEastAsia" w:hAnsiTheme="minorHAnsi" w:cstheme="minorHAnsi"/>
          <w:color w:val="000000" w:themeColor="text1"/>
        </w:rPr>
        <w:t>50 %,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D631A9" w:rsidRPr="00D631A9">
        <w:rPr>
          <w:rFonts w:asciiTheme="minorHAnsi" w:eastAsiaTheme="majorEastAsia" w:hAnsiTheme="minorHAnsi" w:cstheme="minorHAnsi"/>
          <w:color w:val="000000" w:themeColor="text1"/>
        </w:rPr>
        <w:t>sur les lignes court terme existantes, octroyées par les banques</w:t>
      </w:r>
      <w:r w:rsidR="00E92258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E92258" w:rsidRPr="007C053E">
        <w:rPr>
          <w:rFonts w:asciiTheme="minorHAnsi" w:eastAsiaTheme="majorEastAsia" w:hAnsiTheme="minorHAnsi" w:cstheme="minorHAnsi"/>
          <w:color w:val="000000" w:themeColor="text1"/>
        </w:rPr>
        <w:t>initialement</w:t>
      </w:r>
      <w:r w:rsidR="00D631A9" w:rsidRPr="00D631A9">
        <w:rPr>
          <w:rFonts w:asciiTheme="minorHAnsi" w:eastAsiaTheme="majorEastAsia" w:hAnsiTheme="minorHAnsi" w:cstheme="minorHAnsi"/>
          <w:color w:val="000000" w:themeColor="text1"/>
        </w:rPr>
        <w:t xml:space="preserve"> sans garantie, afin de permettre de maintenir ces moyens à disposition des entreprises impactées ;</w:t>
      </w:r>
    </w:p>
    <w:p w:rsidR="00D631A9" w:rsidRPr="00D631A9" w:rsidRDefault="00D631A9" w:rsidP="00D631A9">
      <w:pPr>
        <w:numPr>
          <w:ilvl w:val="0"/>
          <w:numId w:val="25"/>
        </w:num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7C053E">
        <w:rPr>
          <w:rFonts w:asciiTheme="minorHAnsi" w:eastAsiaTheme="majorEastAsia" w:hAnsiTheme="minorHAnsi" w:cstheme="minorHAnsi"/>
          <w:color w:val="000000" w:themeColor="text1"/>
        </w:rPr>
        <w:t>max 75 %,</w:t>
      </w:r>
      <w:r w:rsidRPr="00D631A9">
        <w:rPr>
          <w:rFonts w:asciiTheme="minorHAnsi" w:eastAsiaTheme="majorEastAsia" w:hAnsiTheme="minorHAnsi" w:cstheme="minorHAnsi"/>
          <w:color w:val="000000" w:themeColor="text1"/>
        </w:rPr>
        <w:t xml:space="preserve"> sur les </w:t>
      </w:r>
      <w:r w:rsidR="00540132">
        <w:rPr>
          <w:rFonts w:asciiTheme="minorHAnsi" w:eastAsiaTheme="majorEastAsia" w:hAnsiTheme="minorHAnsi" w:cstheme="minorHAnsi"/>
          <w:color w:val="000000" w:themeColor="text1"/>
        </w:rPr>
        <w:t xml:space="preserve">accroissements de ligne </w:t>
      </w:r>
      <w:r w:rsidRPr="00D631A9">
        <w:rPr>
          <w:rFonts w:asciiTheme="minorHAnsi" w:eastAsiaTheme="majorEastAsia" w:hAnsiTheme="minorHAnsi" w:cstheme="minorHAnsi"/>
          <w:color w:val="000000" w:themeColor="text1"/>
        </w:rPr>
        <w:t>court terme qui seraient accordés aux entreprises pour les aider à passer cette période de crise.</w:t>
      </w:r>
    </w:p>
    <w:p w:rsidR="00D631A9" w:rsidRDefault="00D631A9" w:rsidP="00D631A9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:rsidR="00D631A9" w:rsidRDefault="00540132" w:rsidP="00D631A9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 xml:space="preserve">Ces garanties </w:t>
      </w:r>
      <w:r w:rsidR="00BF2299">
        <w:rPr>
          <w:rFonts w:asciiTheme="minorHAnsi" w:eastAsiaTheme="majorEastAsia" w:hAnsiTheme="minorHAnsi" w:cstheme="minorHAnsi"/>
          <w:color w:val="000000" w:themeColor="text1"/>
        </w:rPr>
        <w:t>sont valables pour les entreprises n</w:t>
      </w:r>
      <w:r w:rsidR="00BF2299" w:rsidRPr="00B36115">
        <w:rPr>
          <w:rFonts w:asciiTheme="minorHAnsi" w:eastAsiaTheme="majorEastAsia" w:hAnsiTheme="minorHAnsi" w:cstheme="minorHAnsi"/>
          <w:color w:val="000000" w:themeColor="text1"/>
        </w:rPr>
        <w:t>’étant pas en difficultés financières</w:t>
      </w:r>
      <w:r w:rsidR="00BF2299">
        <w:rPr>
          <w:rFonts w:asciiTheme="minorHAnsi" w:eastAsiaTheme="majorEastAsia" w:hAnsiTheme="minorHAnsi" w:cstheme="minorHAnsi"/>
          <w:color w:val="000000" w:themeColor="text1"/>
        </w:rPr>
        <w:t xml:space="preserve"> au 31 décembre 20</w:t>
      </w:r>
      <w:r w:rsidR="002D7DF7">
        <w:rPr>
          <w:rFonts w:asciiTheme="minorHAnsi" w:eastAsiaTheme="majorEastAsia" w:hAnsiTheme="minorHAnsi" w:cstheme="minorHAnsi"/>
          <w:color w:val="000000" w:themeColor="text1"/>
        </w:rPr>
        <w:t>19</w:t>
      </w:r>
      <w:r w:rsidR="00BF2299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dans </w:t>
      </w:r>
      <w:r w:rsidR="00D631A9" w:rsidRPr="00D631A9">
        <w:rPr>
          <w:rFonts w:asciiTheme="minorHAnsi" w:eastAsiaTheme="majorEastAsia" w:hAnsiTheme="minorHAnsi" w:cstheme="minorHAnsi"/>
          <w:color w:val="000000" w:themeColor="text1"/>
        </w:rPr>
        <w:t>le respect du plafond global</w:t>
      </w:r>
      <w:r w:rsidRPr="00540132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d’encours par bénéficiaire </w:t>
      </w:r>
      <w:r w:rsidRPr="007C053E">
        <w:rPr>
          <w:rFonts w:asciiTheme="minorHAnsi" w:eastAsiaTheme="majorEastAsia" w:hAnsiTheme="minorHAnsi" w:cstheme="minorHAnsi"/>
          <w:color w:val="000000" w:themeColor="text1"/>
        </w:rPr>
        <w:t xml:space="preserve">de </w:t>
      </w:r>
      <w:r w:rsidR="00E92258" w:rsidRPr="007C053E">
        <w:rPr>
          <w:rFonts w:asciiTheme="minorHAnsi" w:eastAsiaTheme="majorEastAsia" w:hAnsiTheme="minorHAnsi" w:cstheme="minorHAnsi"/>
          <w:color w:val="000000" w:themeColor="text1"/>
        </w:rPr>
        <w:t>1.</w:t>
      </w:r>
      <w:r w:rsidRPr="007C053E">
        <w:rPr>
          <w:rFonts w:asciiTheme="minorHAnsi" w:eastAsiaTheme="majorEastAsia" w:hAnsiTheme="minorHAnsi" w:cstheme="minorHAnsi"/>
          <w:color w:val="000000" w:themeColor="text1"/>
        </w:rPr>
        <w:t>500</w:t>
      </w:r>
      <w:r w:rsidRPr="00540132">
        <w:rPr>
          <w:rFonts w:asciiTheme="minorHAnsi" w:eastAsiaTheme="majorEastAsia" w:hAnsiTheme="minorHAnsi" w:cstheme="minorHAnsi"/>
          <w:color w:val="000000" w:themeColor="text1"/>
        </w:rPr>
        <w:t>.000</w:t>
      </w:r>
      <w:r w:rsidR="00D631A9" w:rsidRPr="00D631A9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Pr="00D631A9">
        <w:rPr>
          <w:rFonts w:asciiTheme="minorHAnsi" w:eastAsiaTheme="majorEastAsia" w:hAnsiTheme="minorHAnsi" w:cstheme="minorHAnsi"/>
          <w:color w:val="000000" w:themeColor="text1"/>
        </w:rPr>
        <w:t>EUR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 pour </w:t>
      </w:r>
      <w:r w:rsidR="00E92258">
        <w:rPr>
          <w:rFonts w:asciiTheme="minorHAnsi" w:eastAsiaTheme="majorEastAsia" w:hAnsiTheme="minorHAnsi" w:cstheme="minorHAnsi"/>
          <w:color w:val="000000" w:themeColor="text1"/>
        </w:rPr>
        <w:t xml:space="preserve">SOWALFIN – SOFINEX en PME, </w:t>
      </w:r>
      <w:r w:rsidR="00E92258" w:rsidRPr="00D631A9">
        <w:rPr>
          <w:rFonts w:asciiTheme="minorHAnsi" w:eastAsiaTheme="majorEastAsia" w:hAnsiTheme="minorHAnsi" w:cstheme="minorHAnsi"/>
          <w:color w:val="000000" w:themeColor="text1"/>
        </w:rPr>
        <w:t>1.500.</w:t>
      </w:r>
      <w:r w:rsidR="00E92258">
        <w:rPr>
          <w:rFonts w:asciiTheme="minorHAnsi" w:eastAsiaTheme="majorEastAsia" w:hAnsiTheme="minorHAnsi" w:cstheme="minorHAnsi"/>
          <w:color w:val="000000" w:themeColor="text1"/>
        </w:rPr>
        <w:t xml:space="preserve">000 EUR pour GELIGAR </w:t>
      </w:r>
      <w:r w:rsidR="00E92258" w:rsidRPr="007C053E">
        <w:rPr>
          <w:rFonts w:asciiTheme="minorHAnsi" w:eastAsiaTheme="majorEastAsia" w:hAnsiTheme="minorHAnsi" w:cstheme="minorHAnsi"/>
          <w:color w:val="000000" w:themeColor="text1"/>
        </w:rPr>
        <w:t xml:space="preserve">en grandes entreprise et </w:t>
      </w:r>
      <w:r w:rsidR="00EC4CD1" w:rsidRPr="007C053E">
        <w:rPr>
          <w:rFonts w:asciiTheme="minorHAnsi" w:eastAsiaTheme="majorEastAsia" w:hAnsiTheme="minorHAnsi" w:cstheme="minorHAnsi"/>
          <w:color w:val="000000" w:themeColor="text1"/>
        </w:rPr>
        <w:t xml:space="preserve"> 2.5</w:t>
      </w:r>
      <w:r w:rsidR="00E92258" w:rsidRPr="007C053E">
        <w:rPr>
          <w:rFonts w:asciiTheme="minorHAnsi" w:eastAsiaTheme="majorEastAsia" w:hAnsiTheme="minorHAnsi" w:cstheme="minorHAnsi"/>
          <w:color w:val="000000" w:themeColor="text1"/>
        </w:rPr>
        <w:t xml:space="preserve">00.000 EUR pour </w:t>
      </w:r>
      <w:r w:rsidRPr="007C053E">
        <w:rPr>
          <w:rFonts w:asciiTheme="minorHAnsi" w:eastAsiaTheme="majorEastAsia" w:hAnsiTheme="minorHAnsi" w:cstheme="minorHAnsi"/>
          <w:color w:val="000000" w:themeColor="text1"/>
        </w:rPr>
        <w:t>SOFINEX</w:t>
      </w:r>
      <w:r w:rsidR="00E92258">
        <w:rPr>
          <w:rFonts w:asciiTheme="minorHAnsi" w:eastAsiaTheme="majorEastAsia" w:hAnsiTheme="minorHAnsi" w:cstheme="minorHAnsi"/>
          <w:color w:val="000000" w:themeColor="text1"/>
        </w:rPr>
        <w:t xml:space="preserve"> en grandes entreprises</w:t>
      </w:r>
      <w:r w:rsidR="00B36115">
        <w:rPr>
          <w:rFonts w:asciiTheme="minorHAnsi" w:eastAsiaTheme="majorEastAsia" w:hAnsiTheme="minorHAnsi" w:cstheme="minorHAnsi"/>
          <w:color w:val="000000" w:themeColor="text1"/>
        </w:rPr>
        <w:t>.</w:t>
      </w:r>
    </w:p>
    <w:p w:rsidR="00B36115" w:rsidRDefault="00B36115" w:rsidP="00D631A9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:rsidR="006A6D47" w:rsidRDefault="00D631A9" w:rsidP="00D631A9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D631A9">
        <w:rPr>
          <w:rFonts w:asciiTheme="minorHAnsi" w:eastAsiaTheme="majorEastAsia" w:hAnsiTheme="minorHAnsi" w:cstheme="minorHAnsi"/>
          <w:color w:val="000000" w:themeColor="text1"/>
        </w:rPr>
        <w:t xml:space="preserve">En outre, en cas de moratoire </w:t>
      </w:r>
      <w:r w:rsidR="0091240E" w:rsidRPr="007C053E">
        <w:rPr>
          <w:rFonts w:asciiTheme="minorHAnsi" w:eastAsiaTheme="majorEastAsia" w:hAnsiTheme="minorHAnsi" w:cstheme="minorHAnsi"/>
          <w:color w:val="000000" w:themeColor="text1"/>
        </w:rPr>
        <w:t xml:space="preserve">significatif </w:t>
      </w:r>
      <w:r w:rsidR="00E92258" w:rsidRPr="007C053E">
        <w:rPr>
          <w:rFonts w:asciiTheme="minorHAnsi" w:eastAsiaTheme="majorEastAsia" w:hAnsiTheme="minorHAnsi" w:cstheme="minorHAnsi"/>
          <w:color w:val="000000" w:themeColor="text1"/>
        </w:rPr>
        <w:t xml:space="preserve">(de minimum 3 mois) </w:t>
      </w:r>
      <w:r w:rsidR="00B36115" w:rsidRPr="007C053E">
        <w:rPr>
          <w:rFonts w:asciiTheme="minorHAnsi" w:eastAsiaTheme="majorEastAsia" w:hAnsiTheme="minorHAnsi" w:cstheme="minorHAnsi"/>
          <w:color w:val="000000" w:themeColor="text1"/>
        </w:rPr>
        <w:t>octroyés</w:t>
      </w:r>
      <w:r w:rsidR="00B36115" w:rsidRPr="00465C9E">
        <w:rPr>
          <w:rFonts w:asciiTheme="minorHAnsi" w:eastAsiaTheme="majorEastAsia" w:hAnsiTheme="minorHAnsi" w:cstheme="minorHAnsi"/>
          <w:color w:val="000000" w:themeColor="text1"/>
        </w:rPr>
        <w:t xml:space="preserve"> par les banques à partir du 13 mars 2020</w:t>
      </w:r>
      <w:r w:rsidR="00B36115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Pr="00B36115">
        <w:rPr>
          <w:rFonts w:asciiTheme="minorHAnsi" w:eastAsiaTheme="majorEastAsia" w:hAnsiTheme="minorHAnsi" w:cstheme="minorHAnsi"/>
          <w:color w:val="000000" w:themeColor="text1"/>
        </w:rPr>
        <w:t>sur un crédit</w:t>
      </w:r>
      <w:r w:rsidRPr="00B36115">
        <w:rPr>
          <w:rFonts w:asciiTheme="minorHAnsi" w:eastAsiaTheme="majorEastAsia" w:hAnsiTheme="minorHAnsi" w:cstheme="minorHAnsi"/>
          <w:color w:val="000000" w:themeColor="text1"/>
          <w:u w:val="single"/>
        </w:rPr>
        <w:t xml:space="preserve"> d’investissement</w:t>
      </w:r>
      <w:r w:rsidR="00B36115" w:rsidRPr="00B36115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B36115" w:rsidRPr="00465C9E">
        <w:rPr>
          <w:rFonts w:asciiTheme="minorHAnsi" w:eastAsiaTheme="majorEastAsia" w:hAnsiTheme="minorHAnsi" w:cstheme="minorHAnsi"/>
          <w:color w:val="000000" w:themeColor="text1"/>
        </w:rPr>
        <w:t>initialement non garanti</w:t>
      </w:r>
      <w:r w:rsidRPr="00D631A9">
        <w:rPr>
          <w:rFonts w:asciiTheme="minorHAnsi" w:eastAsiaTheme="majorEastAsia" w:hAnsiTheme="minorHAnsi" w:cstheme="minorHAnsi"/>
          <w:color w:val="000000" w:themeColor="text1"/>
        </w:rPr>
        <w:t xml:space="preserve">, </w:t>
      </w:r>
      <w:r w:rsidR="00B36115">
        <w:rPr>
          <w:rFonts w:asciiTheme="minorHAnsi" w:eastAsiaTheme="majorEastAsia" w:hAnsiTheme="minorHAnsi" w:cstheme="minorHAnsi"/>
          <w:color w:val="000000" w:themeColor="text1"/>
        </w:rPr>
        <w:t xml:space="preserve">les 3 outils </w:t>
      </w:r>
      <w:r w:rsidRPr="00D631A9">
        <w:rPr>
          <w:rFonts w:asciiTheme="minorHAnsi" w:eastAsiaTheme="majorEastAsia" w:hAnsiTheme="minorHAnsi" w:cstheme="minorHAnsi"/>
          <w:color w:val="000000" w:themeColor="text1"/>
        </w:rPr>
        <w:t>peu</w:t>
      </w:r>
      <w:r w:rsidR="00B36115">
        <w:rPr>
          <w:rFonts w:asciiTheme="minorHAnsi" w:eastAsiaTheme="majorEastAsia" w:hAnsiTheme="minorHAnsi" w:cstheme="minorHAnsi"/>
          <w:color w:val="000000" w:themeColor="text1"/>
        </w:rPr>
        <w:t>ven</w:t>
      </w:r>
      <w:r w:rsidRPr="00D631A9">
        <w:rPr>
          <w:rFonts w:asciiTheme="minorHAnsi" w:eastAsiaTheme="majorEastAsia" w:hAnsiTheme="minorHAnsi" w:cstheme="minorHAnsi"/>
          <w:color w:val="000000" w:themeColor="text1"/>
        </w:rPr>
        <w:t>t garantir supplétivement</w:t>
      </w:r>
      <w:r w:rsidR="0091240E">
        <w:rPr>
          <w:rFonts w:asciiTheme="minorHAnsi" w:eastAsiaTheme="majorEastAsia" w:hAnsiTheme="minorHAnsi" w:cstheme="minorHAnsi"/>
          <w:color w:val="000000" w:themeColor="text1"/>
        </w:rPr>
        <w:t xml:space="preserve">, après examen individuel, </w:t>
      </w:r>
      <w:r w:rsidRPr="00D631A9">
        <w:rPr>
          <w:rFonts w:asciiTheme="minorHAnsi" w:eastAsiaTheme="majorEastAsia" w:hAnsiTheme="minorHAnsi" w:cstheme="minorHAnsi"/>
          <w:color w:val="000000" w:themeColor="text1"/>
        </w:rPr>
        <w:t>à hauteur de 50% le solde restant dû du prêt.</w:t>
      </w:r>
    </w:p>
    <w:p w:rsidR="00BF2299" w:rsidRDefault="00BF2299" w:rsidP="00D631A9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:rsidR="002205C8" w:rsidRDefault="00BF2299" w:rsidP="00BF2299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BF2299">
        <w:rPr>
          <w:rFonts w:asciiTheme="minorHAnsi" w:eastAsiaTheme="majorEastAsia" w:hAnsiTheme="minorHAnsi" w:cstheme="minorHAnsi"/>
          <w:color w:val="000000" w:themeColor="text1"/>
        </w:rPr>
        <w:lastRenderedPageBreak/>
        <w:t>D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e plus, </w:t>
      </w:r>
      <w:r w:rsidRPr="00BF2299">
        <w:rPr>
          <w:rFonts w:asciiTheme="minorHAnsi" w:eastAsiaTheme="majorEastAsia" w:hAnsiTheme="minorHAnsi" w:cstheme="minorHAnsi"/>
          <w:color w:val="000000" w:themeColor="text1"/>
        </w:rPr>
        <w:t xml:space="preserve">le groupe SOGEPA/Wallonie Santé 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pourra </w:t>
      </w:r>
      <w:r w:rsidRPr="00BF2299">
        <w:rPr>
          <w:rFonts w:asciiTheme="minorHAnsi" w:eastAsiaTheme="majorEastAsia" w:hAnsiTheme="minorHAnsi" w:cstheme="minorHAnsi"/>
          <w:color w:val="000000" w:themeColor="text1"/>
        </w:rPr>
        <w:t>compléter les garanties octroyées automatiquement par la SOWALFIN</w:t>
      </w:r>
      <w:r w:rsidR="000F5314">
        <w:rPr>
          <w:rFonts w:asciiTheme="minorHAnsi" w:eastAsiaTheme="majorEastAsia" w:hAnsiTheme="minorHAnsi" w:cstheme="minorHAnsi"/>
          <w:color w:val="000000" w:themeColor="text1"/>
        </w:rPr>
        <w:t xml:space="preserve"> et GELIGAR</w:t>
      </w:r>
      <w:r w:rsidRPr="00BF2299">
        <w:rPr>
          <w:rFonts w:asciiTheme="minorHAnsi" w:eastAsiaTheme="majorEastAsia" w:hAnsiTheme="minorHAnsi" w:cstheme="minorHAnsi"/>
          <w:color w:val="000000" w:themeColor="text1"/>
        </w:rPr>
        <w:t xml:space="preserve"> (aux entreprises saines avant la crise) pour atteindre des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 garanties d’</w:t>
      </w:r>
      <w:r w:rsidRPr="00BF2299">
        <w:rPr>
          <w:rFonts w:asciiTheme="minorHAnsi" w:eastAsiaTheme="majorEastAsia" w:hAnsiTheme="minorHAnsi" w:cstheme="minorHAnsi"/>
          <w:color w:val="000000" w:themeColor="text1"/>
        </w:rPr>
        <w:t>un m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ontant maximal de 2,5 millions EUR </w:t>
      </w:r>
      <w:r w:rsidRPr="00BF2299">
        <w:rPr>
          <w:rFonts w:asciiTheme="minorHAnsi" w:eastAsiaTheme="majorEastAsia" w:hAnsiTheme="minorHAnsi" w:cstheme="minorHAnsi"/>
          <w:color w:val="000000" w:themeColor="text1"/>
        </w:rPr>
        <w:t>par bénéficiaire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. </w:t>
      </w:r>
      <w:r w:rsidR="002205C8">
        <w:rPr>
          <w:rFonts w:asciiTheme="minorHAnsi" w:eastAsiaTheme="majorEastAsia" w:hAnsiTheme="minorHAnsi" w:cstheme="minorHAnsi"/>
          <w:color w:val="000000" w:themeColor="text1"/>
        </w:rPr>
        <w:t>Toutes les demandes pour c</w:t>
      </w:r>
      <w:r w:rsidR="002205C8" w:rsidRPr="00B36115">
        <w:rPr>
          <w:rFonts w:asciiTheme="minorHAnsi" w:eastAsiaTheme="majorEastAsia" w:hAnsiTheme="minorHAnsi" w:cstheme="minorHAnsi"/>
          <w:color w:val="000000" w:themeColor="text1"/>
        </w:rPr>
        <w:t xml:space="preserve">e point </w:t>
      </w:r>
      <w:r w:rsidR="002205C8">
        <w:rPr>
          <w:rFonts w:asciiTheme="minorHAnsi" w:eastAsiaTheme="majorEastAsia" w:hAnsiTheme="minorHAnsi" w:cstheme="minorHAnsi"/>
          <w:color w:val="000000" w:themeColor="text1"/>
        </w:rPr>
        <w:t xml:space="preserve">sont à adresser à la </w:t>
      </w:r>
      <w:r w:rsidR="002205C8" w:rsidRPr="002D7DF7">
        <w:rPr>
          <w:rFonts w:asciiTheme="minorHAnsi" w:eastAsiaTheme="majorEastAsia" w:hAnsiTheme="minorHAnsi" w:cstheme="minorHAnsi"/>
          <w:color w:val="000000" w:themeColor="text1"/>
        </w:rPr>
        <w:t>SOWALFIN, la SOFINEX</w:t>
      </w:r>
      <w:r w:rsidR="002205C8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2205C8" w:rsidRPr="002D7DF7">
        <w:rPr>
          <w:rFonts w:asciiTheme="minorHAnsi" w:eastAsiaTheme="majorEastAsia" w:hAnsiTheme="minorHAnsi" w:cstheme="minorHAnsi"/>
          <w:color w:val="000000" w:themeColor="text1"/>
        </w:rPr>
        <w:t>ou GELIGAR (SRIW) selon le cas.</w:t>
      </w:r>
    </w:p>
    <w:p w:rsidR="002205C8" w:rsidRDefault="002205C8" w:rsidP="00BF2299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:rsidR="00465C9E" w:rsidRPr="00BF2299" w:rsidRDefault="00BF2299" w:rsidP="00BF2299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>P</w:t>
      </w:r>
      <w:r w:rsidRPr="00BF2299">
        <w:rPr>
          <w:rFonts w:asciiTheme="minorHAnsi" w:eastAsiaTheme="majorEastAsia" w:hAnsiTheme="minorHAnsi" w:cstheme="minorHAnsi"/>
          <w:color w:val="000000" w:themeColor="text1"/>
        </w:rPr>
        <w:t xml:space="preserve">our les entreprises en </w:t>
      </w:r>
      <w:r w:rsidR="002205C8">
        <w:rPr>
          <w:rFonts w:asciiTheme="minorHAnsi" w:eastAsiaTheme="majorEastAsia" w:hAnsiTheme="minorHAnsi" w:cstheme="minorHAnsi"/>
          <w:color w:val="000000" w:themeColor="text1"/>
        </w:rPr>
        <w:t>retournement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, </w:t>
      </w:r>
      <w:r w:rsidR="002205C8">
        <w:rPr>
          <w:rFonts w:asciiTheme="minorHAnsi" w:eastAsiaTheme="majorEastAsia" w:hAnsiTheme="minorHAnsi" w:cstheme="minorHAnsi"/>
          <w:color w:val="000000" w:themeColor="text1"/>
        </w:rPr>
        <w:t xml:space="preserve">la SOGEPA peut garantir seule </w:t>
      </w:r>
      <w:r w:rsidRPr="00BF2299">
        <w:rPr>
          <w:rFonts w:asciiTheme="minorHAnsi" w:eastAsiaTheme="majorEastAsia" w:hAnsiTheme="minorHAnsi" w:cstheme="minorHAnsi"/>
          <w:color w:val="000000" w:themeColor="text1"/>
        </w:rPr>
        <w:t>75% d’un montant maximal de 2.5 millions € par bénéficiaire</w:t>
      </w:r>
      <w:r>
        <w:rPr>
          <w:rFonts w:asciiTheme="minorHAnsi" w:eastAsiaTheme="majorEastAsia" w:hAnsiTheme="minorHAnsi" w:cstheme="minorHAnsi"/>
          <w:color w:val="000000" w:themeColor="text1"/>
        </w:rPr>
        <w:t>.</w:t>
      </w:r>
      <w:r w:rsidR="002205C8">
        <w:rPr>
          <w:rFonts w:asciiTheme="minorHAnsi" w:eastAsiaTheme="majorEastAsia" w:hAnsiTheme="minorHAnsi" w:cstheme="minorHAnsi"/>
          <w:color w:val="000000" w:themeColor="text1"/>
        </w:rPr>
        <w:t xml:space="preserve"> Le dossier est à introduire directement auprès de la SOGEPA.</w:t>
      </w:r>
    </w:p>
    <w:p w:rsidR="00BF2299" w:rsidRDefault="00BF2299" w:rsidP="00B36115">
      <w:pPr>
        <w:spacing w:after="160" w:line="259" w:lineRule="auto"/>
        <w:contextualSpacing/>
        <w:jc w:val="both"/>
        <w:rPr>
          <w:rFonts w:ascii="Calibri Light" w:eastAsia="Calibri" w:hAnsi="Calibri Light" w:cs="Calibri Light"/>
          <w:b/>
          <w:color w:val="333F50"/>
          <w:sz w:val="22"/>
          <w:szCs w:val="22"/>
          <w:u w:val="single"/>
          <w:lang w:eastAsia="en-US"/>
        </w:rPr>
      </w:pPr>
    </w:p>
    <w:p w:rsidR="00860C73" w:rsidRPr="007C053E" w:rsidRDefault="00860C73" w:rsidP="00860C73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theme="minorHAnsi"/>
          <w:b/>
        </w:rPr>
      </w:pPr>
      <w:r w:rsidRPr="007C053E">
        <w:rPr>
          <w:rFonts w:asciiTheme="minorHAnsi" w:hAnsiTheme="minorHAnsi" w:cstheme="minorHAnsi"/>
          <w:b/>
        </w:rPr>
        <w:t>Soutenir d’urgence la trésorerie des entreprises par un prêt de 200.000 EUR </w:t>
      </w:r>
    </w:p>
    <w:p w:rsidR="00860C73" w:rsidRPr="007C053E" w:rsidRDefault="00860C73" w:rsidP="00860C73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:rsidR="00860C73" w:rsidRPr="007C053E" w:rsidRDefault="00860C73" w:rsidP="00860C73">
      <w:pPr>
        <w:pStyle w:val="Textebrut"/>
        <w:jc w:val="both"/>
        <w:rPr>
          <w:rFonts w:asciiTheme="minorHAnsi" w:hAnsiTheme="minorHAnsi" w:cstheme="minorHAnsi"/>
          <w:sz w:val="24"/>
          <w:szCs w:val="24"/>
        </w:rPr>
      </w:pPr>
      <w:r w:rsidRPr="007C053E">
        <w:rPr>
          <w:rFonts w:asciiTheme="minorHAnsi" w:hAnsiTheme="minorHAnsi" w:cstheme="minorHAnsi"/>
          <w:sz w:val="24"/>
          <w:szCs w:val="24"/>
        </w:rPr>
        <w:t>Pour combler les besoins urgents de trésorerie</w:t>
      </w:r>
      <w:r>
        <w:rPr>
          <w:rFonts w:asciiTheme="minorHAnsi" w:hAnsiTheme="minorHAnsi" w:cstheme="minorHAnsi"/>
          <w:sz w:val="24"/>
          <w:szCs w:val="24"/>
        </w:rPr>
        <w:t xml:space="preserve"> des entreprises, la SOGEPA et </w:t>
      </w:r>
      <w:r w:rsidRPr="007C053E">
        <w:rPr>
          <w:rFonts w:asciiTheme="minorHAnsi" w:hAnsiTheme="minorHAnsi" w:cstheme="minorHAnsi"/>
          <w:sz w:val="24"/>
          <w:szCs w:val="24"/>
        </w:rPr>
        <w:t xml:space="preserve">Wallonie Santé proposeront des prêts sans contrepartie privée pour un montant maximal de 200.000 EUR avec une franchise de remboursement de 1 an et avec un taux d’intérêt fixe de 2%. </w:t>
      </w:r>
    </w:p>
    <w:p w:rsidR="00B36115" w:rsidRDefault="00B36115" w:rsidP="00B36115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:rsidR="00B36115" w:rsidRDefault="00B36115" w:rsidP="00B36115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:rsidR="00B36115" w:rsidRPr="00465C9E" w:rsidRDefault="00B36115" w:rsidP="00B36115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:rsidR="00465C9E" w:rsidRPr="00465C9E" w:rsidRDefault="00B36115" w:rsidP="00860C73">
      <w:pPr>
        <w:pStyle w:val="Paragraphedeliste"/>
        <w:numPr>
          <w:ilvl w:val="0"/>
          <w:numId w:val="31"/>
        </w:numPr>
        <w:tabs>
          <w:tab w:val="left" w:pos="2768"/>
        </w:tabs>
        <w:jc w:val="both"/>
        <w:rPr>
          <w:rFonts w:asciiTheme="minorHAnsi" w:eastAsiaTheme="majorEastAsia" w:hAnsiTheme="minorHAnsi" w:cstheme="minorHAnsi"/>
          <w:b/>
          <w:color w:val="000000" w:themeColor="text1"/>
          <w:lang w:val="fr-FR"/>
        </w:rPr>
      </w:pPr>
      <w:r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>Effets des engagements</w:t>
      </w:r>
      <w:r w:rsidR="00465C9E" w:rsidRPr="00465C9E">
        <w:rPr>
          <w:rFonts w:asciiTheme="minorHAnsi" w:eastAsiaTheme="majorEastAsia" w:hAnsiTheme="minorHAnsi" w:cstheme="minorHAnsi"/>
          <w:b/>
          <w:color w:val="000000" w:themeColor="text1"/>
          <w:lang w:val="fr-FR"/>
        </w:rPr>
        <w:t xml:space="preserve"> </w:t>
      </w:r>
    </w:p>
    <w:p w:rsidR="00465C9E" w:rsidRPr="00465C9E" w:rsidRDefault="00465C9E" w:rsidP="00465C9E">
      <w:pPr>
        <w:rPr>
          <w:rFonts w:ascii="Calibri Light" w:eastAsia="Calibri" w:hAnsi="Calibri Light" w:cs="Calibri Light"/>
          <w:color w:val="333F50"/>
          <w:sz w:val="22"/>
          <w:szCs w:val="22"/>
          <w:lang w:eastAsia="en-US"/>
        </w:rPr>
      </w:pPr>
    </w:p>
    <w:p w:rsidR="00465C9E" w:rsidRDefault="00465C9E" w:rsidP="00B36115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465C9E">
        <w:rPr>
          <w:rFonts w:asciiTheme="minorHAnsi" w:eastAsiaTheme="majorEastAsia" w:hAnsiTheme="minorHAnsi" w:cstheme="minorHAnsi"/>
          <w:color w:val="000000" w:themeColor="text1"/>
        </w:rPr>
        <w:t xml:space="preserve">Les interventions </w:t>
      </w:r>
      <w:r w:rsidR="00B36115">
        <w:rPr>
          <w:rFonts w:asciiTheme="minorHAnsi" w:eastAsiaTheme="majorEastAsia" w:hAnsiTheme="minorHAnsi" w:cstheme="minorHAnsi"/>
          <w:color w:val="000000" w:themeColor="text1"/>
        </w:rPr>
        <w:t>des outils</w:t>
      </w:r>
      <w:r w:rsidRPr="00465C9E">
        <w:rPr>
          <w:rFonts w:asciiTheme="minorHAnsi" w:eastAsiaTheme="majorEastAsia" w:hAnsiTheme="minorHAnsi" w:cstheme="minorHAnsi"/>
          <w:color w:val="000000" w:themeColor="text1"/>
        </w:rPr>
        <w:t xml:space="preserve"> se feront dans la mesure des moyens financiers mis à </w:t>
      </w:r>
      <w:r w:rsidR="00217478">
        <w:rPr>
          <w:rFonts w:asciiTheme="minorHAnsi" w:eastAsiaTheme="majorEastAsia" w:hAnsiTheme="minorHAnsi" w:cstheme="minorHAnsi"/>
          <w:color w:val="000000" w:themeColor="text1"/>
        </w:rPr>
        <w:t>leur</w:t>
      </w:r>
      <w:r w:rsidRPr="00465C9E">
        <w:rPr>
          <w:rFonts w:asciiTheme="minorHAnsi" w:eastAsiaTheme="majorEastAsia" w:hAnsiTheme="minorHAnsi" w:cstheme="minorHAnsi"/>
          <w:color w:val="000000" w:themeColor="text1"/>
        </w:rPr>
        <w:t xml:space="preserve"> disposition. Ceux-ci feront par ailleurs l’objet d’une réévaluation mensuelle, la première étant prévue au 30 avril 2020, en vue de vérifier s’ils sont suffisants pour assurer de nouvelles interventions au-delà du mois en cours. </w:t>
      </w:r>
    </w:p>
    <w:p w:rsidR="00B36115" w:rsidRDefault="00B36115" w:rsidP="00B36115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bookmarkEnd w:id="0"/>
    <w:p w:rsidR="00EC4CD1" w:rsidRPr="00EC4CD1" w:rsidRDefault="002D7DF7" w:rsidP="00EC4CD1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>Contact</w:t>
      </w:r>
      <w:r w:rsidR="00217478">
        <w:rPr>
          <w:rFonts w:asciiTheme="minorHAnsi" w:eastAsiaTheme="majorEastAsia" w:hAnsiTheme="minorHAnsi" w:cstheme="minorHAnsi"/>
          <w:color w:val="000000" w:themeColor="text1"/>
        </w:rPr>
        <w:t>s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 : </w:t>
      </w:r>
      <w:r w:rsidR="00EC4CD1">
        <w:rPr>
          <w:rFonts w:asciiTheme="minorHAnsi" w:eastAsiaTheme="majorEastAsia" w:hAnsiTheme="minorHAnsi" w:cstheme="minorHAnsi"/>
          <w:color w:val="000000" w:themeColor="text1"/>
        </w:rPr>
        <w:t>n</w:t>
      </w:r>
      <w:r w:rsidR="00217478" w:rsidRPr="007B5ADF">
        <w:rPr>
          <w:rFonts w:asciiTheme="minorHAnsi" w:eastAsiaTheme="majorEastAsia" w:hAnsiTheme="minorHAnsi" w:cstheme="minorHAnsi"/>
          <w:color w:val="000000" w:themeColor="text1"/>
        </w:rPr>
        <w:t xml:space="preserve">ous invitons nos sociétés </w:t>
      </w:r>
      <w:r w:rsidR="00EC4CD1">
        <w:rPr>
          <w:rFonts w:asciiTheme="minorHAnsi" w:eastAsiaTheme="majorEastAsia" w:hAnsiTheme="minorHAnsi" w:cstheme="minorHAnsi"/>
          <w:color w:val="000000" w:themeColor="text1"/>
        </w:rPr>
        <w:t>en portefeuille</w:t>
      </w:r>
      <w:r w:rsidR="00217478" w:rsidRPr="007B5ADF">
        <w:rPr>
          <w:rFonts w:asciiTheme="minorHAnsi" w:eastAsiaTheme="majorEastAsia" w:hAnsiTheme="minorHAnsi" w:cstheme="minorHAnsi"/>
          <w:color w:val="000000" w:themeColor="text1"/>
        </w:rPr>
        <w:t xml:space="preserve"> à contacter directement l’Investment manager en charge du dossier.</w:t>
      </w:r>
      <w:r w:rsidR="00217478" w:rsidRPr="00217478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217478" w:rsidRPr="007B5ADF">
        <w:rPr>
          <w:rFonts w:asciiTheme="minorHAnsi" w:eastAsiaTheme="majorEastAsia" w:hAnsiTheme="minorHAnsi" w:cstheme="minorHAnsi"/>
          <w:color w:val="000000" w:themeColor="text1"/>
        </w:rPr>
        <w:t>Sinon, merci de nous contacter</w:t>
      </w:r>
      <w:r w:rsidR="00EC4CD1">
        <w:rPr>
          <w:rFonts w:asciiTheme="minorHAnsi" w:eastAsiaTheme="majorEastAsia" w:hAnsiTheme="minorHAnsi" w:cstheme="minorHAnsi"/>
          <w:color w:val="000000" w:themeColor="text1"/>
        </w:rPr>
        <w:t xml:space="preserve"> au </w:t>
      </w:r>
      <w:r w:rsidR="00EC4CD1" w:rsidRPr="00EC4CD1">
        <w:rPr>
          <w:rFonts w:asciiTheme="minorHAnsi" w:eastAsiaTheme="majorEastAsia" w:hAnsiTheme="minorHAnsi" w:cstheme="minorHAnsi"/>
          <w:lang w:val="en-GB"/>
        </w:rPr>
        <w:t xml:space="preserve">1890 </w:t>
      </w:r>
      <w:r w:rsidR="00EC4CD1">
        <w:rPr>
          <w:rFonts w:asciiTheme="minorHAnsi" w:eastAsiaTheme="majorEastAsia" w:hAnsiTheme="minorHAnsi" w:cstheme="minorHAnsi"/>
          <w:lang w:val="en-GB"/>
        </w:rPr>
        <w:t>(</w:t>
      </w:r>
      <w:r w:rsidR="00EC4CD1" w:rsidRPr="00EC4CD1">
        <w:rPr>
          <w:rFonts w:asciiTheme="minorHAnsi" w:eastAsiaTheme="majorEastAsia" w:hAnsiTheme="minorHAnsi" w:cstheme="minorHAnsi"/>
          <w:lang w:val="en-GB"/>
        </w:rPr>
        <w:t>guichet unique</w:t>
      </w:r>
      <w:r w:rsidR="00EC4CD1">
        <w:rPr>
          <w:rFonts w:asciiTheme="minorHAnsi" w:eastAsiaTheme="majorEastAsia" w:hAnsiTheme="minorHAnsi" w:cstheme="minorHAnsi"/>
          <w:lang w:val="en-GB"/>
        </w:rPr>
        <w:t>) ou</w:t>
      </w:r>
      <w:r w:rsidR="00831A51">
        <w:rPr>
          <w:rFonts w:asciiTheme="minorHAnsi" w:eastAsiaTheme="majorEastAsia" w:hAnsiTheme="minorHAnsi" w:cstheme="minorHAnsi"/>
          <w:lang w:val="en-GB"/>
        </w:rPr>
        <w:t xml:space="preserve"> </w:t>
      </w:r>
      <w:r w:rsidR="00EC4CD1">
        <w:rPr>
          <w:rFonts w:asciiTheme="minorHAnsi" w:eastAsiaTheme="majorEastAsia" w:hAnsiTheme="minorHAnsi" w:cstheme="minorHAnsi"/>
          <w:lang w:val="en-GB"/>
        </w:rPr>
        <w:t>:</w:t>
      </w:r>
    </w:p>
    <w:p w:rsidR="007C053E" w:rsidRPr="007C053E" w:rsidRDefault="00831A51" w:rsidP="00FB0208">
      <w:pPr>
        <w:pStyle w:val="Paragraphedeliste"/>
        <w:numPr>
          <w:ilvl w:val="0"/>
          <w:numId w:val="29"/>
        </w:numPr>
        <w:tabs>
          <w:tab w:val="left" w:pos="2768"/>
        </w:tabs>
        <w:jc w:val="both"/>
        <w:rPr>
          <w:rFonts w:asciiTheme="minorHAnsi" w:eastAsiaTheme="majorEastAsia" w:hAnsiTheme="minorHAnsi" w:cstheme="minorHAnsi"/>
        </w:rPr>
      </w:pPr>
      <w:r w:rsidRPr="007C053E">
        <w:rPr>
          <w:rFonts w:asciiTheme="minorHAnsi" w:eastAsiaTheme="majorEastAsia" w:hAnsiTheme="minorHAnsi" w:cstheme="minorHAnsi"/>
          <w:lang w:val="en-GB"/>
        </w:rPr>
        <w:t xml:space="preserve">pour </w:t>
      </w:r>
      <w:r w:rsidR="00EC4CD1" w:rsidRPr="007C053E">
        <w:rPr>
          <w:rFonts w:asciiTheme="minorHAnsi" w:eastAsiaTheme="majorEastAsia" w:hAnsiTheme="minorHAnsi" w:cstheme="minorHAnsi"/>
          <w:lang w:val="en-GB"/>
        </w:rPr>
        <w:t xml:space="preserve">les PME : Sowalfin :  </w:t>
      </w:r>
      <w:hyperlink r:id="rId9" w:history="1">
        <w:r w:rsidR="00EC4CD1" w:rsidRPr="007C053E">
          <w:rPr>
            <w:rStyle w:val="Lienhypertexte"/>
            <w:rFonts w:asciiTheme="minorHAnsi" w:eastAsiaTheme="majorEastAsia" w:hAnsiTheme="minorHAnsi" w:cstheme="minorHAnsi"/>
            <w:color w:val="auto"/>
            <w:lang w:val="en-GB"/>
          </w:rPr>
          <w:t>analystes@sowalfin.be</w:t>
        </w:r>
      </w:hyperlink>
      <w:r w:rsidR="00EC4CD1" w:rsidRPr="007C053E">
        <w:rPr>
          <w:rFonts w:asciiTheme="minorHAnsi" w:eastAsiaTheme="majorEastAsia" w:hAnsiTheme="minorHAnsi" w:cstheme="minorHAnsi"/>
          <w:lang w:val="en-GB"/>
        </w:rPr>
        <w:t xml:space="preserve"> </w:t>
      </w:r>
      <w:r w:rsidR="00CE7269">
        <w:rPr>
          <w:rFonts w:asciiTheme="minorHAnsi" w:eastAsiaTheme="majorEastAsia" w:hAnsiTheme="minorHAnsi" w:cstheme="minorHAnsi"/>
          <w:color w:val="000000" w:themeColor="text1"/>
          <w:lang w:val="en-GB"/>
        </w:rPr>
        <w:t>–</w:t>
      </w:r>
      <w:r w:rsidR="00CE7269" w:rsidRPr="00CE7269">
        <w:rPr>
          <w:rFonts w:asciiTheme="minorHAnsi" w:eastAsiaTheme="majorEastAsia" w:hAnsiTheme="minorHAnsi" w:cstheme="minorHAnsi"/>
          <w:lang w:val="en-GB"/>
        </w:rPr>
        <w:t xml:space="preserve"> </w:t>
      </w:r>
      <w:hyperlink r:id="rId10" w:history="1">
        <w:r w:rsidR="00CE7269" w:rsidRPr="00CE7269">
          <w:rPr>
            <w:rStyle w:val="Lienhypertexte"/>
            <w:rFonts w:asciiTheme="minorHAnsi" w:eastAsiaTheme="majorEastAsia" w:hAnsiTheme="minorHAnsi" w:cstheme="minorHAnsi"/>
            <w:color w:val="auto"/>
            <w:lang w:val="en-GB"/>
          </w:rPr>
          <w:t>info@sofinex.be</w:t>
        </w:r>
      </w:hyperlink>
    </w:p>
    <w:p w:rsidR="00EC4CD1" w:rsidRPr="007C053E" w:rsidRDefault="00831A51" w:rsidP="00FB0208">
      <w:pPr>
        <w:pStyle w:val="Paragraphedeliste"/>
        <w:numPr>
          <w:ilvl w:val="0"/>
          <w:numId w:val="29"/>
        </w:numPr>
        <w:tabs>
          <w:tab w:val="left" w:pos="2768"/>
        </w:tabs>
        <w:jc w:val="both"/>
        <w:rPr>
          <w:rFonts w:asciiTheme="minorHAnsi" w:eastAsiaTheme="majorEastAsia" w:hAnsiTheme="minorHAnsi" w:cstheme="minorHAnsi"/>
        </w:rPr>
      </w:pPr>
      <w:r w:rsidRPr="007C053E">
        <w:rPr>
          <w:rFonts w:asciiTheme="minorHAnsi" w:eastAsiaTheme="majorEastAsia" w:hAnsiTheme="minorHAnsi" w:cstheme="minorHAnsi"/>
        </w:rPr>
        <w:t xml:space="preserve">pour </w:t>
      </w:r>
      <w:r w:rsidR="00EC4CD1" w:rsidRPr="007C053E">
        <w:rPr>
          <w:rFonts w:asciiTheme="minorHAnsi" w:eastAsiaTheme="majorEastAsia" w:hAnsiTheme="minorHAnsi" w:cstheme="minorHAnsi"/>
        </w:rPr>
        <w:t xml:space="preserve">les entreprises en retournement : Sogepa : </w:t>
      </w:r>
      <w:hyperlink r:id="rId11" w:history="1">
        <w:r w:rsidR="00EC4CD1" w:rsidRPr="007C053E">
          <w:rPr>
            <w:rStyle w:val="Lienhypertexte"/>
            <w:rFonts w:asciiTheme="minorHAnsi" w:eastAsiaTheme="majorEastAsia" w:hAnsiTheme="minorHAnsi" w:cstheme="minorHAnsi"/>
            <w:color w:val="auto"/>
          </w:rPr>
          <w:t>info@sogepa.be</w:t>
        </w:r>
      </w:hyperlink>
    </w:p>
    <w:p w:rsidR="00EC4CD1" w:rsidRPr="00EC4CD1" w:rsidRDefault="00831A51" w:rsidP="00EC4CD1">
      <w:pPr>
        <w:pStyle w:val="Paragraphedeliste"/>
        <w:numPr>
          <w:ilvl w:val="0"/>
          <w:numId w:val="29"/>
        </w:numPr>
        <w:tabs>
          <w:tab w:val="left" w:pos="2768"/>
        </w:tabs>
        <w:jc w:val="both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 xml:space="preserve">pour </w:t>
      </w:r>
      <w:r w:rsidR="00EC4CD1">
        <w:rPr>
          <w:rFonts w:asciiTheme="minorHAnsi" w:eastAsiaTheme="majorEastAsia" w:hAnsiTheme="minorHAnsi" w:cstheme="minorHAnsi"/>
        </w:rPr>
        <w:t>les g</w:t>
      </w:r>
      <w:r w:rsidR="00EC4CD1" w:rsidRPr="00EC4CD1">
        <w:rPr>
          <w:rFonts w:asciiTheme="minorHAnsi" w:eastAsiaTheme="majorEastAsia" w:hAnsiTheme="minorHAnsi" w:cstheme="minorHAnsi"/>
        </w:rPr>
        <w:t xml:space="preserve">randes entreprises : SRIW </w:t>
      </w:r>
      <w:hyperlink r:id="rId12" w:history="1">
        <w:r w:rsidR="00EC4CD1" w:rsidRPr="00EC4CD1">
          <w:rPr>
            <w:rStyle w:val="Lienhypertexte"/>
            <w:rFonts w:asciiTheme="minorHAnsi" w:eastAsiaTheme="majorEastAsia" w:hAnsiTheme="minorHAnsi" w:cstheme="minorHAnsi"/>
            <w:color w:val="auto"/>
          </w:rPr>
          <w:t>info@sriw.be</w:t>
        </w:r>
      </w:hyperlink>
      <w:r w:rsidR="007C053E">
        <w:rPr>
          <w:rStyle w:val="Lienhypertexte"/>
          <w:rFonts w:asciiTheme="minorHAnsi" w:eastAsiaTheme="majorEastAsia" w:hAnsiTheme="minorHAnsi" w:cstheme="minorHAnsi"/>
          <w:color w:val="auto"/>
        </w:rPr>
        <w:t xml:space="preserve"> </w:t>
      </w:r>
    </w:p>
    <w:bookmarkEnd w:id="1"/>
    <w:p w:rsidR="00217478" w:rsidRPr="00A52A9F" w:rsidRDefault="00217478" w:rsidP="00217478">
      <w:pPr>
        <w:pStyle w:val="Paragraphedeliste"/>
        <w:tabs>
          <w:tab w:val="left" w:pos="2768"/>
        </w:tabs>
        <w:ind w:left="775"/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:rsidR="00217478" w:rsidRPr="00A52A9F" w:rsidRDefault="00217478" w:rsidP="00217478">
      <w:pPr>
        <w:tabs>
          <w:tab w:val="left" w:pos="2768"/>
        </w:tabs>
        <w:ind w:left="415"/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:rsidR="002D7DF7" w:rsidRPr="00A52A9F" w:rsidRDefault="002D7DF7" w:rsidP="000768AA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:rsidR="002D7DF7" w:rsidRPr="00A52A9F" w:rsidRDefault="002D7DF7">
      <w:pPr>
        <w:tabs>
          <w:tab w:val="left" w:pos="2768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sectPr w:rsidR="002D7DF7" w:rsidRPr="00A52A9F" w:rsidSect="00BF22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65" w:rsidRDefault="00D45165" w:rsidP="00EF6339">
      <w:r>
        <w:separator/>
      </w:r>
    </w:p>
  </w:endnote>
  <w:endnote w:type="continuationSeparator" w:id="0">
    <w:p w:rsidR="00D45165" w:rsidRDefault="00D45165" w:rsidP="00EF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65" w:rsidRDefault="00D45165" w:rsidP="00EF6339">
      <w:r>
        <w:separator/>
      </w:r>
    </w:p>
  </w:footnote>
  <w:footnote w:type="continuationSeparator" w:id="0">
    <w:p w:rsidR="00D45165" w:rsidRDefault="00D45165" w:rsidP="00EF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468"/>
    <w:multiLevelType w:val="hybridMultilevel"/>
    <w:tmpl w:val="5B122F3C"/>
    <w:lvl w:ilvl="0" w:tplc="7D50E53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51A9"/>
    <w:multiLevelType w:val="hybridMultilevel"/>
    <w:tmpl w:val="BF5EFDFE"/>
    <w:lvl w:ilvl="0" w:tplc="14B612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6221"/>
    <w:multiLevelType w:val="hybridMultilevel"/>
    <w:tmpl w:val="CBDC2F06"/>
    <w:lvl w:ilvl="0" w:tplc="1306365A">
      <w:start w:val="13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375628"/>
    <w:multiLevelType w:val="hybridMultilevel"/>
    <w:tmpl w:val="8CFAEA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0634"/>
    <w:multiLevelType w:val="hybridMultilevel"/>
    <w:tmpl w:val="64CC7DE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C33A6"/>
    <w:multiLevelType w:val="hybridMultilevel"/>
    <w:tmpl w:val="04B84F5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4E1E3E"/>
    <w:multiLevelType w:val="hybridMultilevel"/>
    <w:tmpl w:val="6E1497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2083"/>
    <w:multiLevelType w:val="hybridMultilevel"/>
    <w:tmpl w:val="F3849A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A4119"/>
    <w:multiLevelType w:val="hybridMultilevel"/>
    <w:tmpl w:val="5EC4ED6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55177"/>
    <w:multiLevelType w:val="hybridMultilevel"/>
    <w:tmpl w:val="B4F6C8B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8335DE"/>
    <w:multiLevelType w:val="hybridMultilevel"/>
    <w:tmpl w:val="7B62C7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4277A"/>
    <w:multiLevelType w:val="hybridMultilevel"/>
    <w:tmpl w:val="9EF21E8C"/>
    <w:lvl w:ilvl="0" w:tplc="80722234">
      <w:start w:val="11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13669D"/>
    <w:multiLevelType w:val="hybridMultilevel"/>
    <w:tmpl w:val="FF924426"/>
    <w:lvl w:ilvl="0" w:tplc="2BBC1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0BF4"/>
    <w:multiLevelType w:val="hybridMultilevel"/>
    <w:tmpl w:val="6A1C39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365CB4"/>
    <w:multiLevelType w:val="hybridMultilevel"/>
    <w:tmpl w:val="45BCA2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DD701D"/>
    <w:multiLevelType w:val="hybridMultilevel"/>
    <w:tmpl w:val="0DBE8298"/>
    <w:lvl w:ilvl="0" w:tplc="E8800D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334D"/>
    <w:multiLevelType w:val="hybridMultilevel"/>
    <w:tmpl w:val="CBBA3F16"/>
    <w:lvl w:ilvl="0" w:tplc="BE6CBEB6">
      <w:numFmt w:val="bullet"/>
      <w:lvlText w:val="-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C6677"/>
    <w:multiLevelType w:val="multilevel"/>
    <w:tmpl w:val="0E120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FF0832"/>
    <w:multiLevelType w:val="multilevel"/>
    <w:tmpl w:val="95D0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64EC6"/>
    <w:multiLevelType w:val="hybridMultilevel"/>
    <w:tmpl w:val="CBD65A0C"/>
    <w:lvl w:ilvl="0" w:tplc="02DE43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6231"/>
    <w:multiLevelType w:val="hybridMultilevel"/>
    <w:tmpl w:val="6A26B8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51CF"/>
    <w:multiLevelType w:val="hybridMultilevel"/>
    <w:tmpl w:val="B100FF2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13B23"/>
    <w:multiLevelType w:val="hybridMultilevel"/>
    <w:tmpl w:val="CA48A924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6B5FBC"/>
    <w:multiLevelType w:val="hybridMultilevel"/>
    <w:tmpl w:val="FB7A4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7E4207"/>
    <w:multiLevelType w:val="multilevel"/>
    <w:tmpl w:val="88BC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B02794"/>
    <w:multiLevelType w:val="hybridMultilevel"/>
    <w:tmpl w:val="0812E19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61EEB"/>
    <w:multiLevelType w:val="hybridMultilevel"/>
    <w:tmpl w:val="896C6BB8"/>
    <w:lvl w:ilvl="0" w:tplc="08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6FF42171"/>
    <w:multiLevelType w:val="hybridMultilevel"/>
    <w:tmpl w:val="97540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F033B"/>
    <w:multiLevelType w:val="multilevel"/>
    <w:tmpl w:val="616E2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D00E2"/>
    <w:multiLevelType w:val="hybridMultilevel"/>
    <w:tmpl w:val="27A2E0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5"/>
  </w:num>
  <w:num w:numId="5">
    <w:abstractNumId w:val="4"/>
  </w:num>
  <w:num w:numId="6">
    <w:abstractNumId w:val="8"/>
  </w:num>
  <w:num w:numId="7">
    <w:abstractNumId w:val="1"/>
  </w:num>
  <w:num w:numId="8">
    <w:abstractNumId w:val="21"/>
  </w:num>
  <w:num w:numId="9">
    <w:abstractNumId w:val="2"/>
  </w:num>
  <w:num w:numId="10">
    <w:abstractNumId w:val="0"/>
  </w:num>
  <w:num w:numId="11">
    <w:abstractNumId w:val="22"/>
  </w:num>
  <w:num w:numId="12">
    <w:abstractNumId w:val="13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27"/>
  </w:num>
  <w:num w:numId="18">
    <w:abstractNumId w:val="7"/>
  </w:num>
  <w:num w:numId="19">
    <w:abstractNumId w:val="29"/>
  </w:num>
  <w:num w:numId="20">
    <w:abstractNumId w:val="9"/>
  </w:num>
  <w:num w:numId="21">
    <w:abstractNumId w:val="19"/>
  </w:num>
  <w:num w:numId="22">
    <w:abstractNumId w:val="3"/>
  </w:num>
  <w:num w:numId="23">
    <w:abstractNumId w:val="20"/>
  </w:num>
  <w:num w:numId="24">
    <w:abstractNumId w:val="16"/>
  </w:num>
  <w:num w:numId="25">
    <w:abstractNumId w:val="15"/>
  </w:num>
  <w:num w:numId="26">
    <w:abstractNumId w:val="12"/>
  </w:num>
  <w:num w:numId="27">
    <w:abstractNumId w:val="18"/>
  </w:num>
  <w:num w:numId="28">
    <w:abstractNumId w:val="17"/>
  </w:num>
  <w:num w:numId="29">
    <w:abstractNumId w:val="2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A9"/>
    <w:rsid w:val="00072108"/>
    <w:rsid w:val="000768AA"/>
    <w:rsid w:val="000E58BB"/>
    <w:rsid w:val="000F5314"/>
    <w:rsid w:val="0015120B"/>
    <w:rsid w:val="00156729"/>
    <w:rsid w:val="00157AB2"/>
    <w:rsid w:val="001618C2"/>
    <w:rsid w:val="001D0640"/>
    <w:rsid w:val="00201237"/>
    <w:rsid w:val="0020353A"/>
    <w:rsid w:val="00217478"/>
    <w:rsid w:val="002205C8"/>
    <w:rsid w:val="002239A9"/>
    <w:rsid w:val="002D7DF7"/>
    <w:rsid w:val="00307A87"/>
    <w:rsid w:val="003543E8"/>
    <w:rsid w:val="00386AAE"/>
    <w:rsid w:val="0039216D"/>
    <w:rsid w:val="003F7CBF"/>
    <w:rsid w:val="00400C82"/>
    <w:rsid w:val="00410C22"/>
    <w:rsid w:val="00411D5C"/>
    <w:rsid w:val="004573AB"/>
    <w:rsid w:val="00465C9E"/>
    <w:rsid w:val="004D09EE"/>
    <w:rsid w:val="004E2493"/>
    <w:rsid w:val="00540132"/>
    <w:rsid w:val="0055248B"/>
    <w:rsid w:val="005B1995"/>
    <w:rsid w:val="00602320"/>
    <w:rsid w:val="00660A79"/>
    <w:rsid w:val="006A6D47"/>
    <w:rsid w:val="006C51D1"/>
    <w:rsid w:val="006E2D0A"/>
    <w:rsid w:val="0076666A"/>
    <w:rsid w:val="007B5ADF"/>
    <w:rsid w:val="007C053E"/>
    <w:rsid w:val="007C28AA"/>
    <w:rsid w:val="00831A51"/>
    <w:rsid w:val="00845F0F"/>
    <w:rsid w:val="00860C73"/>
    <w:rsid w:val="00865BC0"/>
    <w:rsid w:val="008B6D1E"/>
    <w:rsid w:val="008F0459"/>
    <w:rsid w:val="0091240E"/>
    <w:rsid w:val="00914566"/>
    <w:rsid w:val="00996E14"/>
    <w:rsid w:val="009C2058"/>
    <w:rsid w:val="009E15A9"/>
    <w:rsid w:val="009F43BB"/>
    <w:rsid w:val="00A20679"/>
    <w:rsid w:val="00A42A49"/>
    <w:rsid w:val="00A52A9F"/>
    <w:rsid w:val="00A56279"/>
    <w:rsid w:val="00A82A82"/>
    <w:rsid w:val="00AE7935"/>
    <w:rsid w:val="00B36115"/>
    <w:rsid w:val="00BF2299"/>
    <w:rsid w:val="00BF417A"/>
    <w:rsid w:val="00C227CD"/>
    <w:rsid w:val="00C45CB2"/>
    <w:rsid w:val="00C67C25"/>
    <w:rsid w:val="00CD3F4E"/>
    <w:rsid w:val="00CE7269"/>
    <w:rsid w:val="00D412FB"/>
    <w:rsid w:val="00D45165"/>
    <w:rsid w:val="00D631A9"/>
    <w:rsid w:val="00E03C9E"/>
    <w:rsid w:val="00E24E03"/>
    <w:rsid w:val="00E41631"/>
    <w:rsid w:val="00E661DF"/>
    <w:rsid w:val="00E92258"/>
    <w:rsid w:val="00EC4CD1"/>
    <w:rsid w:val="00EF6339"/>
    <w:rsid w:val="00F338F1"/>
    <w:rsid w:val="00F538C1"/>
    <w:rsid w:val="00FC3B07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5AED"/>
  <w15:chartTrackingRefBased/>
  <w15:docId w15:val="{1214B148-5416-6C48-811D-12F96731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C25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0C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2F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2FB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10C2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0C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0C22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10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10C2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410C22"/>
    <w:pPr>
      <w:spacing w:before="120"/>
    </w:pPr>
    <w:rPr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10C22"/>
    <w:pPr>
      <w:spacing w:before="120"/>
      <w:ind w:left="240"/>
    </w:pPr>
    <w:rPr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10C22"/>
    <w:pPr>
      <w:ind w:left="48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10C22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10C22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10C22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10C22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10C22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10C22"/>
    <w:pPr>
      <w:ind w:left="1920"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41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63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339"/>
  </w:style>
  <w:style w:type="paragraph" w:styleId="Pieddepage">
    <w:name w:val="footer"/>
    <w:basedOn w:val="Normal"/>
    <w:link w:val="PieddepageCar"/>
    <w:uiPriority w:val="99"/>
    <w:unhideWhenUsed/>
    <w:rsid w:val="00EF63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339"/>
  </w:style>
  <w:style w:type="paragraph" w:styleId="Paragraphedeliste">
    <w:name w:val="List Paragraph"/>
    <w:basedOn w:val="Normal"/>
    <w:uiPriority w:val="34"/>
    <w:qFormat/>
    <w:rsid w:val="00157AB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D7DF7"/>
  </w:style>
  <w:style w:type="paragraph" w:styleId="Textebrut">
    <w:name w:val="Plain Text"/>
    <w:basedOn w:val="Normal"/>
    <w:link w:val="TextebrutCar"/>
    <w:uiPriority w:val="99"/>
    <w:semiHidden/>
    <w:unhideWhenUsed/>
    <w:rsid w:val="007C053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C053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riw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ogepa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ofinex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lystes@sowalfi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73E5C7-E846-499F-AC2F-9CEAFC3A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Moreau Hugo</cp:lastModifiedBy>
  <cp:revision>2</cp:revision>
  <dcterms:created xsi:type="dcterms:W3CDTF">2020-03-23T12:18:00Z</dcterms:created>
  <dcterms:modified xsi:type="dcterms:W3CDTF">2020-03-23T12:18:00Z</dcterms:modified>
</cp:coreProperties>
</file>